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C2232"/>
          <w:sz w:val="48"/>
        </w:rPr>
        <w:t>AI Act UE — Annexe IV</w:t>
        <w:br/>
        <w:t>Modèle de documentation technique</w:t>
      </w:r>
    </w:p>
    <w:p>
      <w:pPr>
        <w:jc w:val="center"/>
      </w:pPr>
      <w:r>
        <w:rPr>
          <w:color w:val="6B7280"/>
          <w:sz w:val="22"/>
        </w:rPr>
        <w:t>Documentation technique visée à l'article 11, paragraphe 1, du règlement (UE) 2024/1689</w:t>
        <w:br/>
        <w:t>Un document par système d'IA à haut risque</w:t>
      </w:r>
    </w:p>
    <w:p>
      <w:pPr>
        <w:jc w:val="center"/>
      </w:pPr>
      <w:r>
        <w:rPr>
          <w:color w:val="6B7280"/>
          <w:sz w:val="18"/>
        </w:rPr>
        <w:t>Modèle v1.1 — septembre 2026 · Fourni gratuitement par LandingRed · landingred.com</w:t>
      </w:r>
    </w:p>
    <w:p/>
    <w:p>
      <w:pPr>
        <w:spacing w:after="120"/>
      </w:pPr>
      <w:r>
        <w:rPr>
          <w:b/>
          <w:i w:val="0"/>
          <w:sz w:val="24"/>
        </w:rPr>
        <w:t>Comment utiliser ce modèle</w:t>
      </w:r>
    </w:p>
    <w:p>
      <w:pPr>
        <w:spacing w:after="120"/>
      </w:pPr>
      <w:r>
        <w:rPr>
          <w:b w:val="0"/>
          <w:i w:val="0"/>
        </w:rPr>
        <w:t>L'annexe IV définit le contenu minimal de la documentation technique qui doit être établie avant qu'un système d'IA à haut risque ne soit mis sur le marché de l'Union ou mis en service, et tenue à jour (article 11, paragraphe 1). Traitez une à une les neuf sections ci-dessous : chacune reproduit l'exigence et vous propose une zone de réponse guidée. Supprimez le texte d'aide en gris au fur et à mesure de votre saisie.</w:t>
      </w:r>
    </w:p>
    <w:p>
      <w:pPr>
        <w:spacing w:after="120"/>
      </w:pPr>
      <w:r>
        <w:rPr>
          <w:b w:val="0"/>
          <w:i w:val="0"/>
        </w:rPr>
        <w:t>PME, y compris les jeunes pousses, et petites entreprises à moyenne capitalisation : l'article 11, paragraphe 1, vous permet de fournir ces éléments d'une manière simplifiée. Si vous choisissez de le faire, vous devez utiliser le formulaire de documentation technique simplifié que la Commission européenne doit établir, et les organismes notifiés doivent accepter ce formulaire. Le présent modèle n'est pas ce formulaire.</w:t>
      </w:r>
    </w:p>
    <w:p>
      <w:pPr>
        <w:spacing w:after="120"/>
      </w:pPr>
      <w:r>
        <w:rPr>
          <w:b w:val="0"/>
          <w:i/>
          <w:color w:val="6B7280"/>
          <w:sz w:val="18"/>
        </w:rPr>
        <w:t>Le présent modèle reprend, à titre purement informatif, la structure et le libellé de l'annexe IV et ne constitue pas un conseil juridique. Vérifiez le texte en vigueur sur EUR-Lex : règlement (UE) 2024/1689, tel que modifié par le règlement (UE) 2026/1744.</w:t>
      </w:r>
    </w:p>
    <w:p>
      <w:pPr>
        <w:pStyle w:val="Heading2"/>
      </w:pPr>
      <w:r>
        <w:t>Contrôle du document</w:t>
      </w:r>
    </w:p>
    <w:tbl>
      <w:tblPr>
        <w:tblStyle w:val="TableGrid"/>
        <w:tblW w:type="auto" w:w="0"/>
        <w:tblLook w:firstColumn="1" w:firstRow="1" w:lastColumn="0" w:lastRow="0" w:noHBand="0" w:noVBand="1" w:val="04A0"/>
      </w:tblPr>
      <w:tblGrid>
        <w:gridCol w:w="4320"/>
        <w:gridCol w:w="4320"/>
      </w:tblGrid>
      <w:tr>
        <w:tc>
          <w:tcPr>
            <w:tcW w:type="dxa" w:w="4320"/>
          </w:tcPr>
          <w:p>
            <w:r>
              <w:rPr>
                <w:b/>
              </w:rPr>
              <w:t>Nom du système d'IA</w:t>
            </w:r>
          </w:p>
        </w:tc>
        <w:tc>
          <w:tcPr>
            <w:tcW w:type="dxa" w:w="4320"/>
          </w:tcPr>
          <w:p>
            <w:r/>
          </w:p>
        </w:tc>
      </w:tr>
      <w:tr>
        <w:tc>
          <w:tcPr>
            <w:tcW w:type="dxa" w:w="4320"/>
          </w:tcPr>
          <w:p>
            <w:r>
              <w:rPr>
                <w:b/>
              </w:rPr>
              <w:t>Version du système (et relation aux versions précédentes)</w:t>
            </w:r>
          </w:p>
        </w:tc>
        <w:tc>
          <w:tcPr>
            <w:tcW w:type="dxa" w:w="4320"/>
          </w:tcPr>
          <w:p>
            <w:r/>
          </w:p>
        </w:tc>
      </w:tr>
      <w:tr>
        <w:tc>
          <w:tcPr>
            <w:tcW w:type="dxa" w:w="4320"/>
          </w:tcPr>
          <w:p>
            <w:r>
              <w:rPr>
                <w:b/>
              </w:rPr>
              <w:t>Fournisseur (raison sociale)</w:t>
            </w:r>
          </w:p>
        </w:tc>
        <w:tc>
          <w:tcPr>
            <w:tcW w:type="dxa" w:w="4320"/>
          </w:tcPr>
          <w:p>
            <w:r/>
          </w:p>
        </w:tc>
      </w:tr>
      <w:tr>
        <w:tc>
          <w:tcPr>
            <w:tcW w:type="dxa" w:w="4320"/>
          </w:tcPr>
          <w:p>
            <w:r>
              <w:rPr>
                <w:b/>
              </w:rPr>
              <w:t>Personne responsable de la présente documentation</w:t>
            </w:r>
          </w:p>
        </w:tc>
        <w:tc>
          <w:tcPr>
            <w:tcW w:type="dxa" w:w="4320"/>
          </w:tcPr>
          <w:p>
            <w:r/>
          </w:p>
        </w:tc>
      </w:tr>
      <w:tr>
        <w:tc>
          <w:tcPr>
            <w:tcW w:type="dxa" w:w="4320"/>
          </w:tcPr>
          <w:p>
            <w:r>
              <w:rPr>
                <w:b/>
              </w:rPr>
              <w:t>Date d'établissement / de dernière mise à jour</w:t>
            </w:r>
          </w:p>
        </w:tc>
        <w:tc>
          <w:tcPr>
            <w:tcW w:type="dxa" w:w="4320"/>
          </w:tcPr>
          <w:p>
            <w:r/>
          </w:p>
        </w:tc>
      </w:tr>
      <w:tr>
        <w:tc>
          <w:tcPr>
            <w:tcW w:type="dxa" w:w="4320"/>
          </w:tcPr>
          <w:p>
            <w:r>
              <w:rPr>
                <w:b/>
              </w:rPr>
              <w:t>Statut du document</w:t>
            </w:r>
          </w:p>
        </w:tc>
        <w:tc>
          <w:tcPr>
            <w:tcW w:type="dxa" w:w="4320"/>
          </w:tcPr>
          <w:p>
            <w:r>
              <w:rPr>
                <w:i/>
                <w:color w:val="6B7280"/>
              </w:rPr>
              <w:t>Brouillon / En relecture / Approuvé</w:t>
            </w:r>
          </w:p>
        </w:tc>
      </w:tr>
      <w:tr>
        <w:tc>
          <w:tcPr>
            <w:tcW w:type="dxa" w:w="4320"/>
          </w:tcPr>
          <w:p>
            <w:r>
              <w:rPr>
                <w:b/>
              </w:rPr>
              <w:t>Procédure d'évaluation de la conformité associée</w:t>
            </w:r>
          </w:p>
        </w:tc>
        <w:tc>
          <w:tcPr>
            <w:tcW w:type="dxa" w:w="4320"/>
          </w:tcPr>
          <w:p>
            <w:r>
              <w:rPr>
                <w:i/>
                <w:color w:val="6B7280"/>
              </w:rPr>
              <w:t>Annexe VI (contrôle interne) / Annexe VII (organisme notifié)</w:t>
            </w:r>
          </w:p>
        </w:tc>
      </w:tr>
    </w:tbl>
    <w:p>
      <w:r>
        <w:br w:type="page"/>
      </w:r>
    </w:p>
    <w:p>
      <w:pPr>
        <w:pStyle w:val="Heading1"/>
      </w:pPr>
      <w:r>
        <w:t>1. Description générale du système d'IA</w:t>
      </w:r>
    </w:p>
    <w:p>
      <w:pPr>
        <w:spacing w:after="120"/>
      </w:pPr>
      <w:r>
        <w:rPr>
          <w:b w:val="0"/>
          <w:i/>
          <w:color w:val="6B7280"/>
          <w:sz w:val="19"/>
        </w:rPr>
        <w:t>Annexe IV, point 1 : une description générale du système d'IA, y compris les éléments ci-dessous.</w:t>
      </w:r>
    </w:p>
    <w:p>
      <w:pPr>
        <w:spacing w:after="40"/>
      </w:pPr>
      <w:r>
        <w:rPr>
          <w:b/>
        </w:rPr>
        <w:t>1(a) Destination, fournisseur, version</w:t>
      </w:r>
    </w:p>
    <w:p>
      <w:pPr>
        <w:spacing w:after="80"/>
      </w:pPr>
      <w:r>
        <w:rPr>
          <w:i/>
          <w:color w:val="6B7280"/>
          <w:sz w:val="19"/>
        </w:rPr>
        <w:t>Indiquez la destination du système, le nom du fournisseur et la version du système, faisant apparaître sa relation aux versions précédentes.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1(b) Interaction avec du matériel informatique et des logiciels externes, et avec d'autres systèmes d'IA</w:t>
      </w:r>
    </w:p>
    <w:p>
      <w:pPr>
        <w:spacing w:after="80"/>
      </w:pPr>
      <w:r>
        <w:rPr>
          <w:i/>
          <w:color w:val="6B7280"/>
          <w:sz w:val="19"/>
        </w:rPr>
        <w:t>Décrivez la manière dont le système d'IA interagit ou peut être utilisé pour interagir avec du matériel informatique ou des logiciels — y compris avec d'autres systèmes d'IA — qui ne font pas partie du système lui-même, le cas échéant.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1(c) Versions des logiciels / micrologiciels et exigences relatives aux mises à jour</w:t>
      </w:r>
    </w:p>
    <w:p>
      <w:pPr>
        <w:spacing w:after="80"/>
      </w:pPr>
      <w:r>
        <w:rPr>
          <w:i/>
          <w:color w:val="6B7280"/>
          <w:sz w:val="19"/>
        </w:rPr>
        <w:t>Énumérez les versions des logiciels ou des micrologiciels pertinents, ainsi que toute exigence relative aux mises à jour de la version.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1(d) Formes sous lesquelles le système est mis sur le marché ou mis en service</w:t>
      </w:r>
    </w:p>
    <w:p>
      <w:pPr>
        <w:spacing w:after="80"/>
      </w:pPr>
      <w:r>
        <w:rPr>
          <w:i/>
          <w:color w:val="6B7280"/>
          <w:sz w:val="19"/>
        </w:rPr>
        <w:t>Décrivez toutes les formes sous lesquelles le système d'IA parvient aux utilisateurs — par exemple des packs logiciels intégrés dans du matériel informatique, des téléchargements ou des API.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1(e) Matériel informatique sur lequel le système est destiné à être exécuté</w:t>
      </w:r>
    </w:p>
    <w:p>
      <w:pPr>
        <w:spacing w:after="80"/>
      </w:pPr>
      <w:r>
        <w:rPr>
          <w:i/>
          <w:color w:val="6B7280"/>
          <w:sz w:val="19"/>
        </w:rPr>
        <w:t>Décrivez le matériel informatique sur lequel le système d'IA est destiné à être exécuté.</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1(f) Photographies ou illustrations des produits (systèmes composants)</w:t>
      </w:r>
    </w:p>
    <w:p>
      <w:pPr>
        <w:spacing w:after="80"/>
      </w:pPr>
      <w:r>
        <w:rPr>
          <w:i/>
          <w:color w:val="6B7280"/>
          <w:sz w:val="19"/>
        </w:rPr>
        <w:t>Lorsque le système d'IA est un composant de produits : des photographies ou des illustrations montrant les caractéristiques externes, le marquage et la disposition interne de ces produits.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1(g) Description de base de l'interface utilisateur fournie au déployeur</w:t>
      </w:r>
    </w:p>
    <w:p>
      <w:pPr>
        <w:spacing w:after="80"/>
      </w:pPr>
      <w:r>
        <w:rPr>
          <w:i/>
          <w:color w:val="6B7280"/>
          <w:sz w:val="19"/>
        </w:rPr>
        <w:t>Fournissez une description de base de l'interface utilisateur fournie au déployeur.</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1(h) Notice d'utilisation à l'intention du déployeur</w:t>
      </w:r>
    </w:p>
    <w:p>
      <w:pPr>
        <w:spacing w:after="80"/>
      </w:pPr>
      <w:r>
        <w:rPr>
          <w:i/>
          <w:color w:val="6B7280"/>
          <w:sz w:val="19"/>
        </w:rPr>
        <w:t>Joignez ou référencez la notice d'utilisation à l'intention du déployeur, ainsi qu'une description de base de l'interface utilisateur fournie au déployeur, le cas échéant.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2. Description détaillée des éléments et du processus de développement</w:t>
      </w:r>
    </w:p>
    <w:p>
      <w:pPr>
        <w:spacing w:after="120"/>
      </w:pPr>
      <w:r>
        <w:rPr>
          <w:b w:val="0"/>
          <w:i/>
          <w:color w:val="6B7280"/>
          <w:sz w:val="19"/>
        </w:rPr>
        <w:t>Annexe IV, point 2 : une description détaillée des éléments du système d'IA et de son processus de développement.</w:t>
      </w:r>
    </w:p>
    <w:p>
      <w:pPr>
        <w:spacing w:after="40"/>
      </w:pPr>
      <w:r>
        <w:rPr>
          <w:b/>
        </w:rPr>
        <w:t>2(a) Méthodes et étapes de développement, y compris les composants fournis par des tiers</w:t>
      </w:r>
    </w:p>
    <w:p>
      <w:pPr>
        <w:spacing w:after="80"/>
      </w:pPr>
      <w:r>
        <w:rPr>
          <w:i/>
          <w:color w:val="6B7280"/>
          <w:sz w:val="19"/>
        </w:rPr>
        <w:t>Décrivez les méthodes et étapes suivies pour développer le système, y compris — le cas échéant — le recours à des systèmes pré-entraînés ou à des outils fournis par des tiers, et la manière dont ceux-ci ont été utilisés, intégrés ou modifiés.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2(b) Spécifications de conception, logique, principaux choix et compromis</w:t>
      </w:r>
    </w:p>
    <w:p>
      <w:pPr>
        <w:spacing w:after="80"/>
      </w:pPr>
      <w:r>
        <w:rPr>
          <w:i/>
          <w:color w:val="6B7280"/>
          <w:sz w:val="19"/>
        </w:rPr>
        <w:t>Décrivez la logique générale du système et des algorithmes ; les principaux choix de conception, le raisonnement et les hypothèses retenues (y compris en ce qui concerne les personnes ou les groupes de personnes à l'égard desquels le système est destiné à être utilisé) ; les principaux choix de classification ; ce que le système est conçu pour optimiser et la pertinence de ses paramètres ; les sorties attendues et leur qualité ; et les compromis éventuels consentis pour se conformer aux exigences énoncées au chapitre III, section 2.</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2(c) Architecture du système et ressources informatiques</w:t>
      </w:r>
    </w:p>
    <w:p>
      <w:pPr>
        <w:spacing w:after="80"/>
      </w:pPr>
      <w:r>
        <w:rPr>
          <w:i/>
          <w:color w:val="6B7280"/>
          <w:sz w:val="19"/>
        </w:rPr>
        <w:t>Expliquez la manière dont les composants logiciels s'utilisent ou s'alimentent les uns les autres et s'intègrent dans le traitement global, ainsi que les ressources informatiques utilisées pour développer, entraîner, mettre à l'essai et valider le système.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2(d) Exigences relatives aux données : fiches, provenance, sélection, étiquetage, nettoyage</w:t>
      </w:r>
    </w:p>
    <w:p>
      <w:pPr>
        <w:spacing w:after="80"/>
      </w:pPr>
      <w:r>
        <w:rPr>
          <w:i/>
          <w:color w:val="6B7280"/>
          <w:sz w:val="19"/>
        </w:rPr>
        <w:t>Le cas échéant : les fiches décrivant les méthodes et techniques d'entraînement et les jeux de données d'entraînement utilisés — leur provenance, leur portée et leurs principales caractéristiques ; la manière dont les données ont été obtenues et sélectionnées ; les procédures d'étiquetage (par exemple pour l'apprentissage supervisé) et les méthodes de nettoyage des données (par exemple la détection des valeurs aberrantes).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2(e) Évaluation du contrôle humain (article 14)</w:t>
      </w:r>
    </w:p>
    <w:p>
      <w:pPr>
        <w:spacing w:after="80"/>
      </w:pPr>
      <w:r>
        <w:rPr>
          <w:i/>
          <w:color w:val="6B7280"/>
          <w:sz w:val="19"/>
        </w:rPr>
        <w:t>Évaluez les mesures de contrôle humain nécessaires conformément à l'article 14, y compris les mesures techniques qui facilitent l'interprétation des sorties du système par les déployeurs (article 13, paragraphe 3, point d)).</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2(f) Modifications prédéterminées et solutions de maintien de la conformité</w:t>
      </w:r>
    </w:p>
    <w:p>
      <w:pPr>
        <w:spacing w:after="80"/>
      </w:pPr>
      <w:r>
        <w:rPr>
          <w:i/>
          <w:color w:val="6B7280"/>
          <w:sz w:val="19"/>
        </w:rPr>
        <w:t>Le cas échéant : décrivez les modifications prédéterminées du système et de ses performances, ainsi que les solutions techniques garantissant que la conformité aux exigences énoncées au chapitre III, section 2, continue d'être assurée.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2(g) Validation et essais : données, indicateurs, incidences discriminatoires, journaux de test signés</w:t>
      </w:r>
    </w:p>
    <w:p>
      <w:pPr>
        <w:spacing w:after="80"/>
      </w:pPr>
      <w:r>
        <w:rPr>
          <w:i/>
          <w:color w:val="6B7280"/>
          <w:sz w:val="19"/>
        </w:rPr>
        <w:t>Décrivez les procédures et les données de validation et d'essai ; les indicateurs utilisés pour mesurer l'exactitude, la robustesse et le respect des autres exigences énoncées au chapitre III, section 2 ; les éventuelles incidences discriminatoires ; et joignez les journaux et les rapports de test, datés et signés par les personnes responsables (couvrant également les modifications prédéterminées visées au point f)).</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spacing w:after="40"/>
      </w:pPr>
      <w:r>
        <w:rPr>
          <w:b/>
        </w:rPr>
        <w:t>2(h) Mesures de cybersécurité</w:t>
      </w:r>
    </w:p>
    <w:p>
      <w:pPr>
        <w:spacing w:after="80"/>
      </w:pPr>
      <w:r>
        <w:rPr>
          <w:i/>
          <w:color w:val="6B7280"/>
          <w:sz w:val="19"/>
        </w:rPr>
        <w:t>Décrivez les mesures de cybersécurité qui ont été prises.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3. Surveillance, fonctionnement et contrôle</w:t>
      </w:r>
    </w:p>
    <w:p>
      <w:pPr>
        <w:spacing w:after="40"/>
      </w:pPr>
      <w:r>
        <w:rPr>
          <w:b/>
        </w:rPr>
        <w:t>3. Capacités, limites, risques non intentionnels, contrôle humain et spécifications concernant les données d'entrée</w:t>
      </w:r>
    </w:p>
    <w:p>
      <w:pPr>
        <w:spacing w:after="80"/>
      </w:pPr>
      <w:r>
        <w:rPr>
          <w:i/>
          <w:color w:val="6B7280"/>
          <w:sz w:val="19"/>
        </w:rPr>
        <w:t>Détaillez : les capacités et les limites du système sur le plan de sa performance — y compris le degré d'exactitude pour les personnes ou les groupes de personnes spécifiques à l'égard desquels le système est destiné à être utilisé et le niveau global d'exactitude prévu par rapport à la destination ; les résultats non intentionnels et sources de risques prévisibles pour la santé et la sécurité, les droits fondamentaux et en termes de discrimination ; les mesures de contrôle humain visées à l'article 14 (y compris les mesures techniques facilitant l'interprétation des sorties par les déployeurs) ; et les spécifications concernant les données d'entrée, le cas échéant.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4. Adéquation des indicateurs de performance</w:t>
      </w:r>
    </w:p>
    <w:p>
      <w:pPr>
        <w:spacing w:after="40"/>
      </w:pPr>
      <w:r>
        <w:rPr>
          <w:b/>
        </w:rPr>
        <w:t>4. Pourquoi les indicateurs choisis conviennent à ce système</w:t>
      </w:r>
    </w:p>
    <w:p>
      <w:pPr>
        <w:spacing w:after="80"/>
      </w:pPr>
      <w:r>
        <w:rPr>
          <w:i/>
          <w:color w:val="6B7280"/>
          <w:sz w:val="19"/>
        </w:rPr>
        <w:t>Décrivez pourquoi les indicateurs de performance utilisés sont appropriés pour ce système d'IA spécifique.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5. Système de gestion des risques (article 9)</w:t>
      </w:r>
    </w:p>
    <w:p>
      <w:pPr>
        <w:spacing w:after="40"/>
      </w:pPr>
      <w:r>
        <w:rPr>
          <w:b/>
        </w:rPr>
        <w:t>5. Description détaillée du système de gestion des risques</w:t>
      </w:r>
    </w:p>
    <w:p>
      <w:pPr>
        <w:spacing w:after="80"/>
      </w:pPr>
      <w:r>
        <w:rPr>
          <w:i/>
          <w:color w:val="6B7280"/>
          <w:sz w:val="19"/>
        </w:rPr>
        <w:t>Décrivez le système de gestion des risques conformément à l'article 9 : le processus itératif continu qui se déroule sur l'ensemble du cycle de vie du système — l'identification, l'estimation et l'évaluation des risques, ainsi que les mesures de gestion des risques adoptées, y compris les essais.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6. Modifications au cours du cycle de vie</w:t>
      </w:r>
    </w:p>
    <w:p>
      <w:pPr>
        <w:spacing w:after="40"/>
      </w:pPr>
      <w:r>
        <w:rPr>
          <w:b/>
        </w:rPr>
        <w:t>6. Modifications pertinentes apportées tout au long du cycle de vie du système</w:t>
      </w:r>
    </w:p>
    <w:p>
      <w:pPr>
        <w:spacing w:after="80"/>
      </w:pPr>
      <w:r>
        <w:rPr>
          <w:i/>
          <w:color w:val="6B7280"/>
          <w:sz w:val="19"/>
        </w:rPr>
        <w:t>Décrivez les modifications pertinentes apportées par le fournisseur au système tout au long de son cycle de vie.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7. Normes harmonisées et spécifications techniques appliquées</w:t>
      </w:r>
    </w:p>
    <w:p>
      <w:pPr>
        <w:spacing w:after="40"/>
      </w:pPr>
      <w:r>
        <w:rPr>
          <w:b/>
        </w:rPr>
        <w:t>7. Normes appliquées — ou solutions adoptées à la place</w:t>
      </w:r>
    </w:p>
    <w:p>
      <w:pPr>
        <w:spacing w:after="80"/>
      </w:pPr>
      <w:r>
        <w:rPr>
          <w:i/>
          <w:color w:val="6B7280"/>
          <w:sz w:val="19"/>
        </w:rPr>
        <w:t>Énumérez les normes harmonisées appliquées, en totalité ou en partie (dont les références ont été publiées au Journal officiel de l'Union européenne). Lorsqu'aucune norme harmonisée n'a été appliquée, fournissez une description détaillée des solutions adoptées pour satisfaire aux exigences énoncées au chapitre III, section 2, y compris une liste des autres normes pertinentes et spécifications techniques appliquées.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8. Déclaration UE de conformité</w:t>
      </w:r>
    </w:p>
    <w:p>
      <w:pPr>
        <w:spacing w:after="40"/>
      </w:pPr>
      <w:r>
        <w:rPr>
          <w:b/>
        </w:rPr>
        <w:t>8. Copie de la déclaration (article 47)</w:t>
      </w:r>
    </w:p>
    <w:p>
      <w:pPr>
        <w:spacing w:after="80"/>
      </w:pPr>
      <w:r>
        <w:rPr>
          <w:i/>
          <w:color w:val="6B7280"/>
          <w:sz w:val="19"/>
        </w:rPr>
        <w:t>Joignez une copie de la déclaration UE de conformité visée à l'article 47. L'annexe V en énumère le contenu obligatoire : l'identification du système ; le nom et l'adresse du fournisseur ; une attestation certifiant que la déclaration est établie sous la seule responsabilité du fournisseur ; la déclaration attestant la conformité ; lorsque des données à caractère personnel sont traitées, une déclaration attestant la conformité aux règlements (UE) 2016/679 et (UE) 2018/1725 et à la directive (UE) 2016/680 ; les normes appliquées ; l'organisme notifié, le cas échéant ; le lieu, la date et la signature.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pPr>
        <w:pStyle w:val="Heading1"/>
      </w:pPr>
      <w:r>
        <w:t>9. Système et plan de surveillance après commercialisation (article 72)</w:t>
      </w:r>
    </w:p>
    <w:p>
      <w:pPr>
        <w:spacing w:after="40"/>
      </w:pPr>
      <w:r>
        <w:rPr>
          <w:b/>
        </w:rPr>
        <w:t>9. Comment les performances sont évaluées après la commercialisation</w:t>
      </w:r>
    </w:p>
    <w:p>
      <w:pPr>
        <w:spacing w:after="80"/>
      </w:pPr>
      <w:r>
        <w:rPr>
          <w:i/>
          <w:color w:val="6B7280"/>
          <w:sz w:val="19"/>
        </w:rPr>
        <w:t>Décrivez le système en place pour évaluer les performances du système d'IA après la commercialisation conformément à l'article 72, y compris le plan de surveillance après commercialisation visé à l'article 72, paragraphe 3.</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Votre réponse — décrivez, joignez ou référencez des documents internes.</w:t>
            </w:r>
          </w:p>
          <w:p/>
          <w:p/>
          <w:p/>
        </w:tc>
      </w:tr>
    </w:tbl>
    <w:p>
      <w:pPr>
        <w:spacing w:after="40"/>
      </w:pPr>
    </w:p>
    <w:p>
      <w:r>
        <w:br w:type="page"/>
      </w:r>
    </w:p>
    <w:p>
      <w:pPr>
        <w:pStyle w:val="Heading1"/>
      </w:pPr>
      <w:r>
        <w:t>Liste de contrôle d'exhaustivité</w:t>
      </w:r>
    </w:p>
    <w:p>
      <w:pPr>
        <w:spacing w:after="120"/>
      </w:pPr>
      <w:r>
        <w:rPr>
          <w:b w:val="0"/>
          <w:i w:val="0"/>
          <w:sz w:val="20"/>
        </w:rPr>
        <w:t>Avant toute soumission à un organisme notifié ou toute présentation à une autorité de surveillance du marché, vérifiez que chaque élément de l'annexe IV est couvert :</w:t>
      </w:r>
    </w:p>
    <w:tbl>
      <w:tblPr>
        <w:tblStyle w:val="TableGrid"/>
        <w:tblW w:type="auto" w:w="0"/>
        <w:tblLook w:firstColumn="1" w:firstRow="1" w:lastColumn="0" w:lastRow="0" w:noHBand="0" w:noVBand="1" w:val="04A0"/>
      </w:tblPr>
      <w:tblGrid>
        <w:gridCol w:w="4320"/>
        <w:gridCol w:w="4320"/>
      </w:tblGrid>
      <w:tr>
        <w:tc>
          <w:tcPr>
            <w:tcW w:type="dxa" w:w="480"/>
          </w:tcPr>
          <w:p>
            <w:r>
              <w:t>☐</w:t>
            </w:r>
          </w:p>
        </w:tc>
        <w:tc>
          <w:tcPr>
            <w:tcW w:type="dxa" w:w="4320"/>
          </w:tcPr>
          <w:p>
            <w:r>
              <w:t>1. Description générale (a–h) complète, y compris la notice d'utilisation</w:t>
            </w:r>
          </w:p>
        </w:tc>
      </w:tr>
      <w:tr>
        <w:tc>
          <w:tcPr>
            <w:tcW w:type="dxa" w:w="480"/>
          </w:tcPr>
          <w:p>
            <w:r>
              <w:t>☐</w:t>
            </w:r>
          </w:p>
        </w:tc>
        <w:tc>
          <w:tcPr>
            <w:tcW w:type="dxa" w:w="4320"/>
          </w:tcPr>
          <w:p>
            <w:r>
              <w:t>2. Processus de développement (a–h) complet, journaux de test datés et signés</w:t>
            </w:r>
          </w:p>
        </w:tc>
      </w:tr>
      <w:tr>
        <w:tc>
          <w:tcPr>
            <w:tcW w:type="dxa" w:w="480"/>
          </w:tcPr>
          <w:p>
            <w:r>
              <w:t>☐</w:t>
            </w:r>
          </w:p>
        </w:tc>
        <w:tc>
          <w:tcPr>
            <w:tcW w:type="dxa" w:w="4320"/>
          </w:tcPr>
          <w:p>
            <w:r>
              <w:t>3. Surveillance, fonctionnement et contrôle détaillés</w:t>
            </w:r>
          </w:p>
        </w:tc>
      </w:tr>
      <w:tr>
        <w:tc>
          <w:tcPr>
            <w:tcW w:type="dxa" w:w="480"/>
          </w:tcPr>
          <w:p>
            <w:r>
              <w:t>☐</w:t>
            </w:r>
          </w:p>
        </w:tc>
        <w:tc>
          <w:tcPr>
            <w:tcW w:type="dxa" w:w="4320"/>
          </w:tcPr>
          <w:p>
            <w:r>
              <w:t>4. Adéquation des indicateurs de performance justifiée</w:t>
            </w:r>
          </w:p>
        </w:tc>
      </w:tr>
      <w:tr>
        <w:tc>
          <w:tcPr>
            <w:tcW w:type="dxa" w:w="480"/>
          </w:tcPr>
          <w:p>
            <w:r>
              <w:t>☐</w:t>
            </w:r>
          </w:p>
        </w:tc>
        <w:tc>
          <w:tcPr>
            <w:tcW w:type="dxa" w:w="4320"/>
          </w:tcPr>
          <w:p>
            <w:r>
              <w:t>5. Système de gestion des risques (article 9) décrit</w:t>
            </w:r>
          </w:p>
        </w:tc>
      </w:tr>
      <w:tr>
        <w:tc>
          <w:tcPr>
            <w:tcW w:type="dxa" w:w="480"/>
          </w:tcPr>
          <w:p>
            <w:r>
              <w:t>☐</w:t>
            </w:r>
          </w:p>
        </w:tc>
        <w:tc>
          <w:tcPr>
            <w:tcW w:type="dxa" w:w="4320"/>
          </w:tcPr>
          <w:p>
            <w:r>
              <w:t>6. Modifications au cours du cycle de vie consignées</w:t>
            </w:r>
          </w:p>
        </w:tc>
      </w:tr>
      <w:tr>
        <w:tc>
          <w:tcPr>
            <w:tcW w:type="dxa" w:w="480"/>
          </w:tcPr>
          <w:p>
            <w:r>
              <w:t>☐</w:t>
            </w:r>
          </w:p>
        </w:tc>
        <w:tc>
          <w:tcPr>
            <w:tcW w:type="dxa" w:w="4320"/>
          </w:tcPr>
          <w:p>
            <w:r>
              <w:t>7. Normes harmonisées énumérées (ou solutions de remplacement détaillées)</w:t>
            </w:r>
          </w:p>
        </w:tc>
      </w:tr>
      <w:tr>
        <w:tc>
          <w:tcPr>
            <w:tcW w:type="dxa" w:w="480"/>
          </w:tcPr>
          <w:p>
            <w:r>
              <w:t>☐</w:t>
            </w:r>
          </w:p>
        </w:tc>
        <w:tc>
          <w:tcPr>
            <w:tcW w:type="dxa" w:w="4320"/>
          </w:tcPr>
          <w:p>
            <w:r>
              <w:t>8. Déclaration UE de conformité jointe (article 47 / annexe V)</w:t>
            </w:r>
          </w:p>
        </w:tc>
      </w:tr>
      <w:tr>
        <w:tc>
          <w:tcPr>
            <w:tcW w:type="dxa" w:w="480"/>
          </w:tcPr>
          <w:p>
            <w:r>
              <w:t>☐</w:t>
            </w:r>
          </w:p>
        </w:tc>
        <w:tc>
          <w:tcPr>
            <w:tcW w:type="dxa" w:w="4320"/>
          </w:tcPr>
          <w:p>
            <w:r>
              <w:t>9. Plan de surveillance après commercialisation inclus (article 72, paragraphe 3)</w:t>
            </w:r>
          </w:p>
        </w:tc>
      </w:tr>
      <w:tr>
        <w:tc>
          <w:tcPr>
            <w:tcW w:type="dxa" w:w="480"/>
          </w:tcPr>
          <w:p>
            <w:r>
              <w:t>☐</w:t>
            </w:r>
          </w:p>
        </w:tc>
        <w:tc>
          <w:tcPr>
            <w:tcW w:type="dxa" w:w="4320"/>
          </w:tcPr>
          <w:p>
            <w:r>
              <w:t>Document daté, versionné et tenu à jour (article 11, paragraphe 1)</w:t>
            </w:r>
          </w:p>
        </w:tc>
      </w:tr>
    </w:tbl>
    <w:p/>
    <w:p>
      <w:pPr>
        <w:spacing w:after="120"/>
      </w:pPr>
      <w:r>
        <w:rPr>
          <w:b w:val="0"/>
          <w:i w:val="0"/>
          <w:color w:val="6B7280"/>
          <w:sz w:val="19"/>
        </w:rPr>
        <w:t>LandingRed peut rédiger la documentation technique de l'annexe IV à partir de votre inventaire des systèmes d'IA, pour que vous la relisiez et la modifiiez : https://landingred.com</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AI Act UE — Annexe IV · Modèle de documentation technique v1.1 · LandingRed · landingred.com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5C2232"/>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5C223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1182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LandingRed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Act UE — Annexe IV Modèle de documentation technique</dc:title>
  <dc:subject>Modèle reflétant l'annexe IV du règlement (UE) 2024/1689 — documentation technique visée à l'article 11, paragraphe 1.</dc:subject>
  <dc:creator>LandingRed</dc:creator>
  <cp:keywords/>
  <dc:description>Modèle de documentation technique de l'annexe IV v1.1 (septembre 2026)</dc:description>
  <cp:lastModifiedBy/>
  <cp:revision>2</cp:revision>
  <dcterms:created xsi:type="dcterms:W3CDTF">2026-07-16T19:19:00Z</dcterms:created>
  <dcterms:modified xsi:type="dcterms:W3CDTF">2026-09-14T12:00:00Z</dcterms:modified>
  <cp:category/>
  <dc:language>fr-FR</dc:language>
</cp:coreProperties>
</file>