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C2232"/>
          <w:sz w:val="48"/>
        </w:rPr>
        <w:t>EU AI Act — Annex IV</w:t>
        <w:br/>
        <w:t>Technical Documentation Template</w:t>
      </w:r>
    </w:p>
    <w:p>
      <w:pPr>
        <w:jc w:val="center"/>
      </w:pPr>
      <w:r>
        <w:rPr>
          <w:color w:val="6B7280"/>
          <w:sz w:val="22"/>
        </w:rPr>
        <w:t>Technical documentation referred to in Article 11(1) of Regulation (EU) 2024/1689</w:t>
        <w:br/>
        <w:t>One document per high-risk AI system</w:t>
      </w:r>
    </w:p>
    <w:p>
      <w:pPr>
        <w:jc w:val="center"/>
      </w:pPr>
      <w:r>
        <w:rPr>
          <w:color w:val="6B7280"/>
          <w:sz w:val="18"/>
        </w:rPr>
        <w:t>Template v1.0 — July 2026 · Provided free by LandingRed · landingred.com</w:t>
      </w:r>
    </w:p>
    <w:p/>
    <w:p>
      <w:pPr>
        <w:spacing w:after="120"/>
      </w:pPr>
      <w:r>
        <w:rPr>
          <w:b/>
          <w:i w:val="0"/>
          <w:sz w:val="24"/>
        </w:rPr>
        <w:t>How to use this template</w:t>
      </w:r>
    </w:p>
    <w:p>
      <w:pPr>
        <w:spacing w:after="120"/>
      </w:pPr>
      <w:r>
        <w:rPr>
          <w:b w:val="0"/>
          <w:i w:val="0"/>
        </w:rPr>
        <w:t>Annex IV defines the minimum content of the technical documentation that must be drawn up before a high-risk AI system is placed on the EU market or put into service, and kept up to date (Article 11(1)). Work through the nine sections below: each reproduces the requirement and gives you a guided answer box. Delete the grey guidance text as you fill it in.</w:t>
      </w:r>
    </w:p>
    <w:p>
      <w:pPr>
        <w:spacing w:after="120"/>
      </w:pPr>
      <w:r>
        <w:rPr>
          <w:b w:val="0"/>
          <w:i w:val="0"/>
        </w:rPr>
        <w:t>SMEs and start-ups: Article 11(1) lets you provide these elements in a simplified manner, using the simplified technical documentation form that the European Commission is mandated to establish. Until that form is available, documenting the Annex IV elements proportionately — as structured here — is the defensible approach; notified bodies must accept the simplified form once you opt to use it.</w:t>
      </w:r>
    </w:p>
    <w:p>
      <w:pPr>
        <w:spacing w:after="120"/>
      </w:pPr>
      <w:r>
        <w:rPr>
          <w:b w:val="0"/>
          <w:i/>
          <w:color w:val="6B7280"/>
          <w:sz w:val="18"/>
        </w:rPr>
        <w:t>This template mirrors the structure and language of Annex IV for information purposes only and is not legal advice. Verify the current text on EUR-Lex (Regulation (EU) 2024/1689).</w:t>
      </w:r>
    </w:p>
    <w:p>
      <w:pPr>
        <w:pStyle w:val="Heading2"/>
      </w:pPr>
      <w:r>
        <w:t>Document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AI system name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System version (and relation to previous versions)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Provider (legal name)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Person responsible for this documentation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Date drawn up / last updated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Document status</w:t>
            </w:r>
          </w:p>
        </w:tc>
        <w:tc>
          <w:tcPr>
            <w:tcW w:type="dxa" w:w="4320"/>
          </w:tcPr>
          <w:p>
            <w:r>
              <w:rPr>
                <w:i/>
                <w:color w:val="6B7280"/>
              </w:rPr>
              <w:t>Draft / In review / Approved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Related conformity assessment procedure</w:t>
            </w:r>
          </w:p>
        </w:tc>
        <w:tc>
          <w:tcPr>
            <w:tcW w:type="dxa" w:w="4320"/>
          </w:tcPr>
          <w:p>
            <w:r>
              <w:rPr>
                <w:i/>
                <w:color w:val="6B7280"/>
              </w:rPr>
              <w:t>Annex VI (internal control) / Annex VII (notified body)</w:t>
            </w:r>
          </w:p>
        </w:tc>
      </w:tr>
    </w:tbl>
    <w:p>
      <w:r>
        <w:br w:type="page"/>
      </w:r>
    </w:p>
    <w:p>
      <w:pPr>
        <w:pStyle w:val="Heading1"/>
      </w:pPr>
      <w:r>
        <w:t>1. General description of the AI system</w:t>
      </w:r>
    </w:p>
    <w:p>
      <w:pPr>
        <w:spacing w:after="120"/>
      </w:pPr>
      <w:r>
        <w:rPr>
          <w:b w:val="0"/>
          <w:i/>
          <w:color w:val="6B7280"/>
          <w:sz w:val="19"/>
        </w:rPr>
        <w:t>Annex IV(1): a general description of the AI system including the elements below.</w:t>
      </w:r>
    </w:p>
    <w:p>
      <w:pPr>
        <w:spacing w:after="40"/>
      </w:pPr>
      <w:r>
        <w:rPr>
          <w:b/>
        </w:rPr>
        <w:t>1(a) Intended purpose, provider, version</w:t>
      </w:r>
    </w:p>
    <w:p>
      <w:pPr>
        <w:spacing w:after="80"/>
      </w:pPr>
      <w:r>
        <w:rPr>
          <w:i/>
          <w:color w:val="6B7280"/>
          <w:sz w:val="19"/>
        </w:rPr>
        <w:t>State the system's intended purpose, the name of the provider, and the version of the system reflecting its relation to previous versions.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spacing w:after="40"/>
      </w:pPr>
      <w:r>
        <w:rPr>
          <w:b/>
        </w:rPr>
        <w:t>1(b) Interaction with external hardware, software and other AI systems</w:t>
      </w:r>
    </w:p>
    <w:p>
      <w:pPr>
        <w:spacing w:after="80"/>
      </w:pPr>
      <w:r>
        <w:rPr>
          <w:i/>
          <w:color w:val="6B7280"/>
          <w:sz w:val="19"/>
        </w:rPr>
        <w:t>Describe how the AI system interacts with, or can be used to interact with, hardware or software — including other AI systems — that are not part of the system itself, where applicable.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spacing w:after="40"/>
      </w:pPr>
      <w:r>
        <w:rPr>
          <w:b/>
        </w:rPr>
        <w:t>1(c) Software / firmware versions and update requirements</w:t>
      </w:r>
    </w:p>
    <w:p>
      <w:pPr>
        <w:spacing w:after="80"/>
      </w:pPr>
      <w:r>
        <w:rPr>
          <w:i/>
          <w:color w:val="6B7280"/>
          <w:sz w:val="19"/>
        </w:rPr>
        <w:t>List the versions of relevant software or firmware, and any requirements related to version updates.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spacing w:after="40"/>
      </w:pPr>
      <w:r>
        <w:rPr>
          <w:b/>
        </w:rPr>
        <w:t>1(d) Forms in which the system is placed on the market or put into service</w:t>
      </w:r>
    </w:p>
    <w:p>
      <w:pPr>
        <w:spacing w:after="80"/>
      </w:pPr>
      <w:r>
        <w:rPr>
          <w:i/>
          <w:color w:val="6B7280"/>
          <w:sz w:val="19"/>
        </w:rPr>
        <w:t>Describe all forms in which the AI system reaches users — e.g. software packages embedded into hardware, downloads, or APIs.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spacing w:after="40"/>
      </w:pPr>
      <w:r>
        <w:rPr>
          <w:b/>
        </w:rPr>
        <w:t>1(e) Hardware the system is intended to run on</w:t>
      </w:r>
    </w:p>
    <w:p>
      <w:pPr>
        <w:spacing w:after="80"/>
      </w:pPr>
      <w:r>
        <w:rPr>
          <w:i/>
          <w:color w:val="6B7280"/>
          <w:sz w:val="19"/>
        </w:rPr>
        <w:t>Describe the hardware on which the AI system is intended to run.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spacing w:after="40"/>
      </w:pPr>
      <w:r>
        <w:rPr>
          <w:b/>
        </w:rPr>
        <w:t>1(f) Product photographs or illustrations (component systems)</w:t>
      </w:r>
    </w:p>
    <w:p>
      <w:pPr>
        <w:spacing w:after="80"/>
      </w:pPr>
      <w:r>
        <w:rPr>
          <w:i/>
          <w:color w:val="6B7280"/>
          <w:sz w:val="19"/>
        </w:rPr>
        <w:t>Where the AI system is a component of products: photographs or illustrations showing external features, the marking and internal layout of those products.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spacing w:after="40"/>
      </w:pPr>
      <w:r>
        <w:rPr>
          <w:b/>
        </w:rPr>
        <w:t>1(g) Basic description of the deployer-facing user interface</w:t>
      </w:r>
    </w:p>
    <w:p>
      <w:pPr>
        <w:spacing w:after="80"/>
      </w:pPr>
      <w:r>
        <w:rPr>
          <w:i/>
          <w:color w:val="6B7280"/>
          <w:sz w:val="19"/>
        </w:rPr>
        <w:t>Provide a basic description of the user interface provided to the deployer.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spacing w:after="40"/>
      </w:pPr>
      <w:r>
        <w:rPr>
          <w:b/>
        </w:rPr>
        <w:t>1(h) Instructions for use for the deployer</w:t>
      </w:r>
    </w:p>
    <w:p>
      <w:pPr>
        <w:spacing w:after="80"/>
      </w:pPr>
      <w:r>
        <w:rPr>
          <w:i/>
          <w:color w:val="6B7280"/>
          <w:sz w:val="19"/>
        </w:rPr>
        <w:t>Attach or reference the instructions for use for the deployer, where applicable.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pStyle w:val="Heading1"/>
      </w:pPr>
      <w:r>
        <w:t>2. Detailed description of the elements and development process</w:t>
      </w:r>
    </w:p>
    <w:p>
      <w:pPr>
        <w:spacing w:after="120"/>
      </w:pPr>
      <w:r>
        <w:rPr>
          <w:b w:val="0"/>
          <w:i/>
          <w:color w:val="6B7280"/>
          <w:sz w:val="19"/>
        </w:rPr>
        <w:t>Annex IV(2): a detailed description of the elements of the AI system and of the process for its development.</w:t>
      </w:r>
    </w:p>
    <w:p>
      <w:pPr>
        <w:spacing w:after="40"/>
      </w:pPr>
      <w:r>
        <w:rPr>
          <w:b/>
        </w:rPr>
        <w:t>2(a) Development methods and steps, including third-party components</w:t>
      </w:r>
    </w:p>
    <w:p>
      <w:pPr>
        <w:spacing w:after="80"/>
      </w:pPr>
      <w:r>
        <w:rPr>
          <w:i/>
          <w:color w:val="6B7280"/>
          <w:sz w:val="19"/>
        </w:rPr>
        <w:t>Describe the methods and steps performed to develop the system, including — where relevant — the use of pre-trained systems or third-party tools, and how they were used, integrated or modified.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spacing w:after="40"/>
      </w:pPr>
      <w:r>
        <w:rPr>
          <w:b/>
        </w:rPr>
        <w:t>2(b) Design specifications, logic, key choices and trade-offs</w:t>
      </w:r>
    </w:p>
    <w:p>
      <w:pPr>
        <w:spacing w:after="80"/>
      </w:pPr>
      <w:r>
        <w:rPr>
          <w:i/>
          <w:color w:val="6B7280"/>
          <w:sz w:val="19"/>
        </w:rPr>
        <w:t>Describe the general logic of the system and algorithms; key design choices, rationale and assumptions (including with regard to the persons or groups the system is intended to be used on); main classification choices; what the system is designed to optimise for and the relevance of its parameters; expected output and output quality; and any trade-offs made to comply with Chapter III, Section 2 requirements.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spacing w:after="40"/>
      </w:pPr>
      <w:r>
        <w:rPr>
          <w:b/>
        </w:rPr>
        <w:t>2(c) System architecture and computational resources</w:t>
      </w:r>
    </w:p>
    <w:p>
      <w:pPr>
        <w:spacing w:after="80"/>
      </w:pPr>
      <w:r>
        <w:rPr>
          <w:i/>
          <w:color w:val="6B7280"/>
          <w:sz w:val="19"/>
        </w:rPr>
        <w:t>Explain how software components build on or feed into each other and integrate into the overall processing, and the computational resources used to develop, train, test and validate the system.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spacing w:after="40"/>
      </w:pPr>
      <w:r>
        <w:rPr>
          <w:b/>
        </w:rPr>
        <w:t>2(d) Data requirements: datasheets, provenance, selection, labelling, cleaning</w:t>
      </w:r>
    </w:p>
    <w:p>
      <w:pPr>
        <w:spacing w:after="80"/>
      </w:pPr>
      <w:r>
        <w:rPr>
          <w:i/>
          <w:color w:val="6B7280"/>
          <w:sz w:val="19"/>
        </w:rPr>
        <w:t>Where relevant: datasheets describing training methodologies and techniques and the training data sets used — their provenance, scope and main characteristics; how the data was obtained and selected; labelling procedures (e.g. for supervised learning) and data-cleaning methodologies (e.g. outlier detection).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spacing w:after="40"/>
      </w:pPr>
      <w:r>
        <w:rPr>
          <w:b/>
        </w:rPr>
        <w:t>2(e) Human oversight assessment (Article 14)</w:t>
      </w:r>
    </w:p>
    <w:p>
      <w:pPr>
        <w:spacing w:after="80"/>
      </w:pPr>
      <w:r>
        <w:rPr>
          <w:i/>
          <w:color w:val="6B7280"/>
          <w:sz w:val="19"/>
        </w:rPr>
        <w:t>Assess the human oversight measures needed under Article 14, including the technical measures that help deployers interpret the system's outputs (Article 13(3), point (d)).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spacing w:after="40"/>
      </w:pPr>
      <w:r>
        <w:rPr>
          <w:b/>
        </w:rPr>
        <w:t>2(f) Pre-determined changes and continuous-compliance solutions</w:t>
      </w:r>
    </w:p>
    <w:p>
      <w:pPr>
        <w:spacing w:after="80"/>
      </w:pPr>
      <w:r>
        <w:rPr>
          <w:i/>
          <w:color w:val="6B7280"/>
          <w:sz w:val="19"/>
        </w:rPr>
        <w:t>Where applicable: describe pre-determined changes to the system and its performance, and the technical solutions ensuring continuous compliance with Chapter III, Section 2 requirements.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spacing w:after="40"/>
      </w:pPr>
      <w:r>
        <w:rPr>
          <w:b/>
        </w:rPr>
        <w:t>2(g) Validation and testing: data, metrics, discriminatory impacts, signed test logs</w:t>
      </w:r>
    </w:p>
    <w:p>
      <w:pPr>
        <w:spacing w:after="80"/>
      </w:pPr>
      <w:r>
        <w:rPr>
          <w:i/>
          <w:color w:val="6B7280"/>
          <w:sz w:val="19"/>
        </w:rPr>
        <w:t>Describe validation/testing procedures and data; metrics used for accuracy, robustness and compliance with other Chapter III, Section 2 requirements; potentially discriminatory impacts; and attach test logs and reports, dated and signed by the responsible persons (also covering pre-determined changes under (f)).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spacing w:after="40"/>
      </w:pPr>
      <w:r>
        <w:rPr>
          <w:b/>
        </w:rPr>
        <w:t>2(h) Cybersecurity measures</w:t>
      </w:r>
    </w:p>
    <w:p>
      <w:pPr>
        <w:spacing w:after="80"/>
      </w:pPr>
      <w:r>
        <w:rPr>
          <w:i/>
          <w:color w:val="6B7280"/>
          <w:sz w:val="19"/>
        </w:rPr>
        <w:t>Describe the cybersecurity measures put in place.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pStyle w:val="Heading1"/>
      </w:pPr>
      <w:r>
        <w:t>3. Monitoring, functioning and control</w:t>
      </w:r>
    </w:p>
    <w:p>
      <w:pPr>
        <w:spacing w:after="40"/>
      </w:pPr>
      <w:r>
        <w:rPr>
          <w:b/>
        </w:rPr>
        <w:t>3. Capabilities, limitations, unintended risks, oversight and input specifications</w:t>
      </w:r>
    </w:p>
    <w:p>
      <w:pPr>
        <w:spacing w:after="80"/>
      </w:pPr>
      <w:r>
        <w:rPr>
          <w:i/>
          <w:color w:val="6B7280"/>
          <w:sz w:val="19"/>
        </w:rPr>
        <w:t>Detail: the system's capabilities and limitations in performance — including degrees of accuracy for the specific persons or groups it is intended to be used on and the overall expected accuracy against the intended purpose; foreseeable unintended outcomes and sources of risks to health and safety, fundamental rights and discrimination; the Article 14 human-oversight measures (including technical measures helping deployers interpret outputs); and specifications on input data, as appropriate.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pStyle w:val="Heading1"/>
      </w:pPr>
      <w:r>
        <w:t>4. Appropriateness of the performance metrics</w:t>
      </w:r>
    </w:p>
    <w:p>
      <w:pPr>
        <w:spacing w:after="40"/>
      </w:pPr>
      <w:r>
        <w:rPr>
          <w:b/>
        </w:rPr>
        <w:t>4. Why the chosen metrics fit this system</w:t>
      </w:r>
    </w:p>
    <w:p>
      <w:pPr>
        <w:spacing w:after="80"/>
      </w:pPr>
      <w:r>
        <w:rPr>
          <w:i/>
          <w:color w:val="6B7280"/>
          <w:sz w:val="19"/>
        </w:rPr>
        <w:t>Describe why the performance metrics used are appropriate for this specific AI system.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pStyle w:val="Heading1"/>
      </w:pPr>
      <w:r>
        <w:t>5. Risk management system (Article 9)</w:t>
      </w:r>
    </w:p>
    <w:p>
      <w:pPr>
        <w:spacing w:after="40"/>
      </w:pPr>
      <w:r>
        <w:rPr>
          <w:b/>
        </w:rPr>
        <w:t>5. Detailed description of the risk management system</w:t>
      </w:r>
    </w:p>
    <w:p>
      <w:pPr>
        <w:spacing w:after="80"/>
      </w:pPr>
      <w:r>
        <w:rPr>
          <w:i/>
          <w:color w:val="6B7280"/>
          <w:sz w:val="19"/>
        </w:rPr>
        <w:t>Describe the risk management system in accordance with Article 9: the continuous iterative process run over the system's lifecycle — risk identification, estimation, evaluation, and the risk-management measures adopted, including testing.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pStyle w:val="Heading1"/>
      </w:pPr>
      <w:r>
        <w:t>6. Lifecycle changes</w:t>
      </w:r>
    </w:p>
    <w:p>
      <w:pPr>
        <w:spacing w:after="40"/>
      </w:pPr>
      <w:r>
        <w:rPr>
          <w:b/>
        </w:rPr>
        <w:t>6. Relevant changes made through the system's lifecycle</w:t>
      </w:r>
    </w:p>
    <w:p>
      <w:pPr>
        <w:spacing w:after="80"/>
      </w:pPr>
      <w:r>
        <w:rPr>
          <w:i/>
          <w:color w:val="6B7280"/>
          <w:sz w:val="19"/>
        </w:rPr>
        <w:t>Describe the relevant changes made by the provider to the system through its lifecycle.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pStyle w:val="Heading1"/>
      </w:pPr>
      <w:r>
        <w:t>7. Harmonised standards and technical specifications applied</w:t>
      </w:r>
    </w:p>
    <w:p>
      <w:pPr>
        <w:spacing w:after="40"/>
      </w:pPr>
      <w:r>
        <w:rPr>
          <w:b/>
        </w:rPr>
        <w:t>7. Standards applied — or the solutions adopted instead</w:t>
      </w:r>
    </w:p>
    <w:p>
      <w:pPr>
        <w:spacing w:after="80"/>
      </w:pPr>
      <w:r>
        <w:rPr>
          <w:i/>
          <w:color w:val="6B7280"/>
          <w:sz w:val="19"/>
        </w:rPr>
        <w:t>List the harmonised standards applied in full or in part (as referenced in the Official Journal of the EU). Where none were applied, give a detailed description of the solutions adopted to meet Chapter III, Section 2 requirements, including a list of other relevant standards and technical specifications applied.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pStyle w:val="Heading1"/>
      </w:pPr>
      <w:r>
        <w:t>8. EU declaration of conformity</w:t>
      </w:r>
    </w:p>
    <w:p>
      <w:pPr>
        <w:spacing w:after="40"/>
      </w:pPr>
      <w:r>
        <w:rPr>
          <w:b/>
        </w:rPr>
        <w:t>8. Copy of the declaration (Article 47)</w:t>
      </w:r>
    </w:p>
    <w:p>
      <w:pPr>
        <w:spacing w:after="80"/>
      </w:pPr>
      <w:r>
        <w:rPr>
          <w:i/>
          <w:color w:val="6B7280"/>
          <w:sz w:val="19"/>
        </w:rPr>
        <w:t>Attach a copy of the EU declaration of conformity referred to in Article 47. Annex V lists its required content (system identification, provider, conformity statement, standards applied, notified body where applicable, place/date/signature).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pPr>
        <w:pStyle w:val="Heading1"/>
      </w:pPr>
      <w:r>
        <w:t>9. Post-market monitoring system and plan (Article 72)</w:t>
      </w:r>
    </w:p>
    <w:p>
      <w:pPr>
        <w:spacing w:after="40"/>
      </w:pPr>
      <w:r>
        <w:rPr>
          <w:b/>
        </w:rPr>
        <w:t>9. How performance is evaluated in the post-market phase</w:t>
      </w:r>
    </w:p>
    <w:p>
      <w:pPr>
        <w:spacing w:after="80"/>
      </w:pPr>
      <w:r>
        <w:rPr>
          <w:i/>
          <w:color w:val="6B7280"/>
          <w:sz w:val="19"/>
        </w:rPr>
        <w:t>Describe the system in place to evaluate the AI system's performance in the post-market phase in accordance with Article 72, including the post-market monitoring plan referred to in Article 72(3).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tcBorders>
              <w:top w:val="single" w:sz="4" w:color="D1D5DB"/>
              <w:left w:val="single" w:sz="4" w:color="D1D5DB"/>
              <w:bottom w:val="single" w:sz="4" w:color="D1D5DB"/>
              <w:right w:val="single" w:sz="4" w:color="D1D5DB"/>
            </w:tcBorders>
          </w:tcPr>
          <w:p>
            <w:r>
              <w:rPr>
                <w:i/>
                <w:color w:val="6B7280"/>
                <w:sz w:val="19"/>
              </w:rPr>
              <w:t>Your answer — describe, attach, or reference internal documents.</w:t>
            </w:r>
          </w:p>
          <w:p/>
          <w:p/>
          <w:p/>
        </w:tc>
      </w:tr>
    </w:tbl>
    <w:p>
      <w:pPr>
        <w:spacing w:after="40"/>
      </w:pPr>
    </w:p>
    <w:p>
      <w:r>
        <w:br w:type="page"/>
      </w:r>
    </w:p>
    <w:p>
      <w:pPr>
        <w:pStyle w:val="Heading1"/>
      </w:pPr>
      <w:r>
        <w:t>Completeness checklist</w:t>
      </w:r>
    </w:p>
    <w:p>
      <w:pPr>
        <w:spacing w:after="120"/>
      </w:pPr>
      <w:r>
        <w:rPr>
          <w:b w:val="0"/>
          <w:i w:val="0"/>
          <w:sz w:val="20"/>
        </w:rPr>
        <w:t>Before submitting to a notified body or presenting to a market surveillance authority, confirm every Annex IV element is covered: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80"/>
          </w:tcPr>
          <w:p>
            <w:r>
              <w:t>☐</w:t>
            </w:r>
          </w:p>
        </w:tc>
        <w:tc>
          <w:tcPr>
            <w:tcW w:type="dxa" w:w="4320"/>
          </w:tcPr>
          <w:p>
            <w:r>
              <w:t>1. General description (a–h) complete, including instructions for use</w:t>
            </w:r>
          </w:p>
        </w:tc>
      </w:tr>
      <w:tr>
        <w:tc>
          <w:tcPr>
            <w:tcW w:type="dxa" w:w="480"/>
          </w:tcPr>
          <w:p>
            <w:r>
              <w:t>☐</w:t>
            </w:r>
          </w:p>
        </w:tc>
        <w:tc>
          <w:tcPr>
            <w:tcW w:type="dxa" w:w="4320"/>
          </w:tcPr>
          <w:p>
            <w:r>
              <w:t>2. Development process (a–h) complete, test logs dated and signed</w:t>
            </w:r>
          </w:p>
        </w:tc>
      </w:tr>
      <w:tr>
        <w:tc>
          <w:tcPr>
            <w:tcW w:type="dxa" w:w="480"/>
          </w:tcPr>
          <w:p>
            <w:r>
              <w:t>☐</w:t>
            </w:r>
          </w:p>
        </w:tc>
        <w:tc>
          <w:tcPr>
            <w:tcW w:type="dxa" w:w="4320"/>
          </w:tcPr>
          <w:p>
            <w:r>
              <w:t>3. Monitoring, functioning and control detailed</w:t>
            </w:r>
          </w:p>
        </w:tc>
      </w:tr>
      <w:tr>
        <w:tc>
          <w:tcPr>
            <w:tcW w:type="dxa" w:w="480"/>
          </w:tcPr>
          <w:p>
            <w:r>
              <w:t>☐</w:t>
            </w:r>
          </w:p>
        </w:tc>
        <w:tc>
          <w:tcPr>
            <w:tcW w:type="dxa" w:w="4320"/>
          </w:tcPr>
          <w:p>
            <w:r>
              <w:t>4. Performance-metric appropriateness justified</w:t>
            </w:r>
          </w:p>
        </w:tc>
      </w:tr>
      <w:tr>
        <w:tc>
          <w:tcPr>
            <w:tcW w:type="dxa" w:w="480"/>
          </w:tcPr>
          <w:p>
            <w:r>
              <w:t>☐</w:t>
            </w:r>
          </w:p>
        </w:tc>
        <w:tc>
          <w:tcPr>
            <w:tcW w:type="dxa" w:w="4320"/>
          </w:tcPr>
          <w:p>
            <w:r>
              <w:t>5. Article 9 risk management system described</w:t>
            </w:r>
          </w:p>
        </w:tc>
      </w:tr>
      <w:tr>
        <w:tc>
          <w:tcPr>
            <w:tcW w:type="dxa" w:w="480"/>
          </w:tcPr>
          <w:p>
            <w:r>
              <w:t>☐</w:t>
            </w:r>
          </w:p>
        </w:tc>
        <w:tc>
          <w:tcPr>
            <w:tcW w:type="dxa" w:w="4320"/>
          </w:tcPr>
          <w:p>
            <w:r>
              <w:t>6. Lifecycle changes recorded</w:t>
            </w:r>
          </w:p>
        </w:tc>
      </w:tr>
      <w:tr>
        <w:tc>
          <w:tcPr>
            <w:tcW w:type="dxa" w:w="480"/>
          </w:tcPr>
          <w:p>
            <w:r>
              <w:t>☐</w:t>
            </w:r>
          </w:p>
        </w:tc>
        <w:tc>
          <w:tcPr>
            <w:tcW w:type="dxa" w:w="4320"/>
          </w:tcPr>
          <w:p>
            <w:r>
              <w:t>7. Harmonised standards listed (or alternative solutions detailed)</w:t>
            </w:r>
          </w:p>
        </w:tc>
      </w:tr>
      <w:tr>
        <w:tc>
          <w:tcPr>
            <w:tcW w:type="dxa" w:w="480"/>
          </w:tcPr>
          <w:p>
            <w:r>
              <w:t>☐</w:t>
            </w:r>
          </w:p>
        </w:tc>
        <w:tc>
          <w:tcPr>
            <w:tcW w:type="dxa" w:w="4320"/>
          </w:tcPr>
          <w:p>
            <w:r>
              <w:t>8. EU declaration of conformity attached (Article 47 / Annex V)</w:t>
            </w:r>
          </w:p>
        </w:tc>
      </w:tr>
      <w:tr>
        <w:tc>
          <w:tcPr>
            <w:tcW w:type="dxa" w:w="480"/>
          </w:tcPr>
          <w:p>
            <w:r>
              <w:t>☐</w:t>
            </w:r>
          </w:p>
        </w:tc>
        <w:tc>
          <w:tcPr>
            <w:tcW w:type="dxa" w:w="4320"/>
          </w:tcPr>
          <w:p>
            <w:r>
              <w:t>9. Post-market monitoring plan included (Article 72(3))</w:t>
            </w:r>
          </w:p>
        </w:tc>
      </w:tr>
      <w:tr>
        <w:tc>
          <w:tcPr>
            <w:tcW w:type="dxa" w:w="480"/>
          </w:tcPr>
          <w:p>
            <w:r>
              <w:t>☐</w:t>
            </w:r>
          </w:p>
        </w:tc>
        <w:tc>
          <w:tcPr>
            <w:tcW w:type="dxa" w:w="4320"/>
          </w:tcPr>
          <w:p>
            <w:r>
              <w:t>Document dated, versioned, and kept up to date (Article 11(1))</w:t>
            </w:r>
          </w:p>
        </w:tc>
      </w:tr>
    </w:tbl>
    <w:p/>
    <w:p>
      <w:pPr>
        <w:spacing w:after="120"/>
      </w:pPr>
      <w:r>
        <w:rPr>
          <w:b w:val="0"/>
          <w:i w:val="0"/>
          <w:color w:val="6B7280"/>
          <w:sz w:val="19"/>
        </w:rPr>
        <w:t>Generate this document automatically: LandingRed drafts Annex IV technical documentation from your real AI-system inventory — try it free at https://landingred.com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280"/>
        <w:sz w:val="16"/>
      </w:rPr>
      <w:t>EU AI Act Annex IV Technical Documentation Template v1.0 · LandingRed · landingred.com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5C22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5C223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1182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AI Act — Annex IV Technical Documentation Template</dc:title>
  <dc:subject>Template mirroring Annex IV of Regulation (EU) 2024/1689 — technical documentation referred to in Article 11(1).</dc:subject>
  <dc:creator>LandingRed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