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EU AI Act — Article 50 Disclosure Templates</w:t>
      </w:r>
    </w:p>
    <w:p>
      <w:r>
        <w:rPr>
          <w:sz w:val="22"/>
        </w:rPr>
        <w:t>Ready-to-adapt disclosure texts for every Article 50 transparency duty: chatbot disclosure, machine-readable marking of synthetic content, emotion-recognition and biometric-categorisation notices, deep-fake labels, and AI-generated text published on matters of public interest.</w:t>
      </w:r>
    </w:p>
    <w:p>
      <w:r>
        <w:rPr>
          <w:b w:val="0"/>
          <w:i w:val="0"/>
          <w:sz w:val="19"/>
        </w:rPr>
        <w:t>Version 1.0 — September 2026 — landingred.com</w:t>
      </w:r>
    </w:p>
    <w:p>
      <w:r>
        <w:rPr>
          <w:i/>
          <w:sz w:val="19"/>
        </w:rPr>
        <w:t>This pack is information, not legal advice. The obligations are quoted from Regulation (EU) 2024/1689 (the AI Act), Article 50, as applicable on the date above. Adapt each template to your system and confirm the result with counsel.</w:t>
      </w:r>
    </w:p>
    <w:p>
      <w:pPr>
        <w:pStyle w:val="Heading1"/>
      </w:pPr>
      <w:r>
        <w:rPr>
          <w:color w:val="9B313A"/>
        </w:rPr>
        <w:t>1. Which template do you need?</w:t>
      </w:r>
    </w:p>
    <w:p>
      <w:r>
        <w:rPr>
          <w:b w:val="0"/>
          <w:i w:val="0"/>
        </w:rPr>
        <w:t>Find your row. “Provider” means you developed the system (or had it developed) and placed it on the market under your name. “Deployer” means you use a system professionally that someone else provides.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You are</w:t>
            </w:r>
          </w:p>
        </w:tc>
        <w:tc>
          <w:tcPr>
            <w:tcW w:type="dxa" w:w="2160"/>
          </w:tcPr>
          <w:p>
            <w:r>
              <w:rPr>
                <w:b/>
              </w:rPr>
              <w:t>Your AI system…</w:t>
            </w:r>
          </w:p>
        </w:tc>
        <w:tc>
          <w:tcPr>
            <w:tcW w:type="dxa" w:w="2160"/>
          </w:tcPr>
          <w:p>
            <w:r>
              <w:rPr>
                <w:b/>
              </w:rPr>
              <w:t>Duty (Article 50)</w:t>
            </w:r>
          </w:p>
        </w:tc>
        <w:tc>
          <w:tcPr>
            <w:tcW w:type="dxa" w:w="2160"/>
          </w:tcPr>
          <w:p>
            <w:r>
              <w:rPr>
                <w:b/>
              </w:rPr>
              <w:t>Template</w:t>
            </w:r>
          </w:p>
        </w:tc>
      </w:tr>
      <w:tr>
        <w:tc>
          <w:tcPr>
            <w:tcW w:type="dxa" w:w="2160"/>
          </w:tcPr>
          <w:p>
            <w:r>
              <w:t>Provider</w:t>
            </w:r>
          </w:p>
        </w:tc>
        <w:tc>
          <w:tcPr>
            <w:tcW w:type="dxa" w:w="2160"/>
          </w:tcPr>
          <w:p>
            <w:r>
              <w:t>interacts directly with people (chatbot, voice bot, assistant)</w:t>
            </w:r>
          </w:p>
        </w:tc>
        <w:tc>
          <w:tcPr>
            <w:tcW w:type="dxa" w:w="2160"/>
          </w:tcPr>
          <w:p>
            <w:r>
              <w:t>Tell people they are interacting with AI — Art. 50(1)</w:t>
            </w:r>
          </w:p>
        </w:tc>
        <w:tc>
          <w:tcPr>
            <w:tcW w:type="dxa" w:w="2160"/>
          </w:tcPr>
          <w:p>
            <w:r>
              <w:t>T1</w:t>
            </w:r>
          </w:p>
        </w:tc>
      </w:tr>
      <w:tr>
        <w:tc>
          <w:tcPr>
            <w:tcW w:type="dxa" w:w="2160"/>
          </w:tcPr>
          <w:p>
            <w:r>
              <w:t>Provider</w:t>
            </w:r>
          </w:p>
        </w:tc>
        <w:tc>
          <w:tcPr>
            <w:tcW w:type="dxa" w:w="2160"/>
          </w:tcPr>
          <w:p>
            <w:r>
              <w:t>generates synthetic audio, image, video or text</w:t>
            </w:r>
          </w:p>
        </w:tc>
        <w:tc>
          <w:tcPr>
            <w:tcW w:type="dxa" w:w="2160"/>
          </w:tcPr>
          <w:p>
            <w:r>
              <w:t>Mark outputs machine-readably as AI-generated — Art. 50(2)</w:t>
            </w:r>
          </w:p>
        </w:tc>
        <w:tc>
          <w:tcPr>
            <w:tcW w:type="dxa" w:w="2160"/>
          </w:tcPr>
          <w:p>
            <w:r>
              <w:t>T2</w:t>
            </w:r>
          </w:p>
        </w:tc>
      </w:tr>
      <w:tr>
        <w:tc>
          <w:tcPr>
            <w:tcW w:type="dxa" w:w="2160"/>
          </w:tcPr>
          <w:p>
            <w:r>
              <w:t>Deployer</w:t>
            </w:r>
          </w:p>
        </w:tc>
        <w:tc>
          <w:tcPr>
            <w:tcW w:type="dxa" w:w="2160"/>
          </w:tcPr>
          <w:p>
            <w:r>
              <w:t>is an emotion-recognition or biometric-categorisation system</w:t>
            </w:r>
          </w:p>
        </w:tc>
        <w:tc>
          <w:tcPr>
            <w:tcW w:type="dxa" w:w="2160"/>
          </w:tcPr>
          <w:p>
            <w:r>
              <w:t>Inform the persons exposed; process data under GDPR — Art. 50(3)</w:t>
            </w:r>
          </w:p>
        </w:tc>
        <w:tc>
          <w:tcPr>
            <w:tcW w:type="dxa" w:w="2160"/>
          </w:tcPr>
          <w:p>
            <w:r>
              <w:t>T3</w:t>
            </w:r>
          </w:p>
        </w:tc>
      </w:tr>
      <w:tr>
        <w:tc>
          <w:tcPr>
            <w:tcW w:type="dxa" w:w="2160"/>
          </w:tcPr>
          <w:p>
            <w:r>
              <w:t>Deployer</w:t>
            </w:r>
          </w:p>
        </w:tc>
        <w:tc>
          <w:tcPr>
            <w:tcW w:type="dxa" w:w="2160"/>
          </w:tcPr>
          <w:p>
            <w:r>
              <w:t>generates or manipulates a deep fake (image, audio, video)</w:t>
            </w:r>
          </w:p>
        </w:tc>
        <w:tc>
          <w:tcPr>
            <w:tcW w:type="dxa" w:w="2160"/>
          </w:tcPr>
          <w:p>
            <w:r>
              <w:t>Disclose that the content is AI-generated/manipulated — Art. 50(4)</w:t>
            </w:r>
          </w:p>
        </w:tc>
        <w:tc>
          <w:tcPr>
            <w:tcW w:type="dxa" w:w="2160"/>
          </w:tcPr>
          <w:p>
            <w:r>
              <w:t>T4</w:t>
            </w:r>
          </w:p>
        </w:tc>
      </w:tr>
      <w:tr>
        <w:tc>
          <w:tcPr>
            <w:tcW w:type="dxa" w:w="2160"/>
          </w:tcPr>
          <w:p>
            <w:r>
              <w:t>Deployer</w:t>
            </w:r>
          </w:p>
        </w:tc>
        <w:tc>
          <w:tcPr>
            <w:tcW w:type="dxa" w:w="2160"/>
          </w:tcPr>
          <w:p>
            <w:r>
              <w:t>generates text published to inform the public</w:t>
            </w:r>
          </w:p>
        </w:tc>
        <w:tc>
          <w:tcPr>
            <w:tcW w:type="dxa" w:w="2160"/>
          </w:tcPr>
          <w:p>
            <w:r>
              <w:t>Disclose AI generation, unless human editorial control applies — Art. 50(4), 2nd subpara.</w:t>
            </w:r>
          </w:p>
        </w:tc>
        <w:tc>
          <w:tcPr>
            <w:tcW w:type="dxa" w:w="2160"/>
          </w:tcPr>
          <w:p>
            <w:r>
              <w:t>T5</w:t>
            </w:r>
          </w:p>
        </w:tc>
      </w:tr>
    </w:tbl>
    <w:p>
      <w:pPr>
        <w:pStyle w:val="Heading2"/>
      </w:pPr>
      <w:r>
        <w:t>Timing, form and penalties — the rules that apply to every template</w:t>
      </w:r>
    </w:p>
    <w:p>
      <w:pPr>
        <w:pStyle w:val="ListBullet"/>
      </w:pPr>
      <w:r>
        <w:t>Applies since 2 August 2026. Article 50 was NOT deferred by the Digital Omnibus (Regulation (EU) 2026/1744). One transition only: generative AI systems placed on the market before 2 August 2026 have until 2 December 2026 to bring the Art. 50(2) machine-readable marking into line; systems placed on the market since then must mark from day one.</w:t>
      </w:r>
    </w:p>
    <w:p>
      <w:pPr>
        <w:pStyle w:val="ListBullet"/>
      </w:pPr>
      <w:r>
        <w:t>The information must reach the person in a clear and distinguishable manner, at the latest at the first interaction or exposure (Art. 50(5)).</w:t>
      </w:r>
    </w:p>
    <w:p>
      <w:pPr>
        <w:pStyle w:val="ListBullet"/>
      </w:pPr>
      <w:r>
        <w:t>It must conform to applicable accessibility requirements (Art. 50(5)) — screen-reader compatible, not colour-only, not hidden in terms of service.</w:t>
      </w:r>
    </w:p>
    <w:p>
      <w:pPr>
        <w:pStyle w:val="ListBullet"/>
      </w:pPr>
      <w:r>
        <w:t>Non-compliance is fined up to EUR 15 000 000 or 3 % of total worldwide annual turnover, whichever is higher (Art. 99(4)(g)) — for SMEs, including start-ups, the cap is whichever of the two is lower (Art. 99(6)).</w:t>
      </w:r>
    </w:p>
    <w:p>
      <w:r>
        <w:rPr>
          <w:i/>
          <w:sz w:val="19"/>
        </w:rPr>
        <w:t>Carve-out common to all four duties: uses authorised by law to detect, prevent, investigate or prosecute criminal offences are exempt, subject to safeguards (for Art. 50(1) the exemption lapses where the system is publicly available for reporting offences). These templates do not cover such uses.</w:t>
      </w:r>
    </w:p>
    <w:p>
      <w:pPr>
        <w:pStyle w:val="Heading1"/>
      </w:pPr>
      <w:r>
        <w:rPr>
          <w:color w:val="9B313A"/>
        </w:rPr>
        <w:t>T1 — Chatbot / direct-interaction disclosure (providers, Art. 50(1))</w:t>
      </w:r>
    </w:p>
    <w:p>
      <w:r>
        <w:rPr>
          <w:b w:val="0"/>
          <w:i w:val="0"/>
        </w:rPr>
        <w:t>The duty: people must be informed they are interacting with an AI system — unless that is already obvious to a reasonably well-informed, observant and circumspect person in the circumstances. Design the disclosure into the product; do not rely on the deployer to add it.</w:t>
      </w:r>
    </w:p>
    <w:p>
      <w:pPr>
        <w:pStyle w:val="Heading2"/>
      </w:pPr>
      <w:r>
        <w:t>Short persistent label (place near the input field or in the header)</w:t>
      </w:r>
    </w:p>
    <w:p>
      <w:pPr>
        <w:spacing w:after="40"/>
        <w:ind w:left="360"/>
      </w:pPr>
      <w:r>
        <w:rPr>
          <w:rFonts w:ascii="Consolas" w:hAnsi="Consolas"/>
          <w:sz w:val="20"/>
        </w:rPr>
        <w:t>"AI assistant — you are not chatting with a human."</w:t>
      </w:r>
    </w:p>
    <w:p>
      <w:pPr>
        <w:pStyle w:val="Heading2"/>
      </w:pPr>
      <w:r>
        <w:t>First-message disclosure (chat)</w:t>
      </w:r>
    </w:p>
    <w:p>
      <w:pPr>
        <w:spacing w:after="40"/>
        <w:ind w:left="360"/>
      </w:pPr>
      <w:r>
        <w:rPr>
          <w:rFonts w:ascii="Consolas" w:hAnsi="Consolas"/>
          <w:sz w:val="20"/>
        </w:rPr>
        <w:t>"Hi, I’m [ASSISTANT NAME], an AI assistant operated by [ORGANISATION].</w:t>
      </w:r>
    </w:p>
    <w:p>
      <w:pPr>
        <w:spacing w:after="40"/>
        <w:ind w:left="360"/>
      </w:pPr>
      <w:r>
        <w:rPr>
          <w:rFonts w:ascii="Consolas" w:hAnsi="Consolas"/>
          <w:sz w:val="20"/>
        </w:rPr>
        <w:t xml:space="preserve"> I am not a human. I can [WHAT IT DOES].</w:t>
      </w:r>
    </w:p>
    <w:p>
      <w:pPr>
        <w:spacing w:after="40"/>
        <w:ind w:left="360"/>
      </w:pPr>
      <w:r>
        <w:rPr>
          <w:rFonts w:ascii="Consolas" w:hAnsi="Consolas"/>
          <w:sz w:val="20"/>
        </w:rPr>
        <w:t xml:space="preserve"> To reach a person, use [HUMAN CHANNEL]."</w:t>
      </w:r>
    </w:p>
    <w:p>
      <w:pPr>
        <w:pStyle w:val="Heading2"/>
      </w:pPr>
      <w:r>
        <w:t>Voice-system disclosure (say before the conversation starts)</w:t>
      </w:r>
    </w:p>
    <w:p>
      <w:pPr>
        <w:spacing w:after="40"/>
        <w:ind w:left="360"/>
      </w:pPr>
      <w:r>
        <w:rPr>
          <w:rFonts w:ascii="Consolas" w:hAnsi="Consolas"/>
          <w:sz w:val="20"/>
        </w:rPr>
        <w:t>"This call is handled by an artificial intelligence system of [ORGANISATION]."</w:t>
      </w:r>
    </w:p>
    <w:p>
      <w:r>
        <w:rPr>
          <w:i/>
          <w:sz w:val="19"/>
        </w:rPr>
        <w:t>Placement rules: before or at the first interaction, visible without scrolling, and repeated persistently where a chat can be resumed later. The “obvious” exemption is narrow — a branded “AI copilot” page may qualify; a human-named support chat does not. When in doubt, disclose.</w:t>
      </w:r>
    </w:p>
    <w:p>
      <w:pPr>
        <w:pStyle w:val="Heading1"/>
      </w:pPr>
      <w:r>
        <w:rPr>
          <w:color w:val="9B313A"/>
        </w:rPr>
        <w:t>T2 — Machine-readable marking of synthetic content (providers, Art. 50(2))</w:t>
      </w:r>
    </w:p>
    <w:p>
      <w:r>
        <w:rPr>
          <w:b w:val="0"/>
          <w:i w:val="0"/>
        </w:rPr>
        <w:t>The duty: outputs of generative systems must be marked in a machine-readable format and be detectable as artificially generated or manipulated. Solutions must be effective, interoperable, robust and reliable as far as technically feasible. The statutory duty is the technical marking itself; the two blocks below are recommended practice around it — the internal statement documents how you comply, the public line tells your users.</w:t>
      </w:r>
    </w:p>
    <w:p>
      <w:pPr>
        <w:pStyle w:val="Heading2"/>
      </w:pPr>
      <w:r>
        <w:t>Internal conformity statement (adapt and keep with your technical documentation)</w:t>
      </w:r>
    </w:p>
    <w:p>
      <w:pPr>
        <w:spacing w:after="40"/>
        <w:ind w:left="360"/>
      </w:pPr>
      <w:r>
        <w:rPr>
          <w:rFonts w:ascii="Consolas" w:hAnsi="Consolas"/>
          <w:sz w:val="20"/>
        </w:rPr>
        <w:t>[ORGANISATION] marks all AI-generated [AUDIO / IMAGE / VIDEO / TEXT] outputs of</w:t>
      </w:r>
    </w:p>
    <w:p>
      <w:pPr>
        <w:spacing w:after="40"/>
        <w:ind w:left="360"/>
      </w:pPr>
      <w:r>
        <w:rPr>
          <w:rFonts w:ascii="Consolas" w:hAnsi="Consolas"/>
          <w:sz w:val="20"/>
        </w:rPr>
        <w:t>[SYSTEM NAME] in a machine-readable format using [METHOD — e.g. C2PA Content</w:t>
      </w:r>
    </w:p>
    <w:p>
      <w:pPr>
        <w:spacing w:after="40"/>
        <w:ind w:left="360"/>
      </w:pPr>
      <w:r>
        <w:rPr>
          <w:rFonts w:ascii="Consolas" w:hAnsi="Consolas"/>
          <w:sz w:val="20"/>
        </w:rPr>
        <w:t>Credentials, IPTC digital-source metadata, or an embedded watermark], so that the</w:t>
      </w:r>
    </w:p>
    <w:p>
      <w:pPr>
        <w:spacing w:after="40"/>
        <w:ind w:left="360"/>
      </w:pPr>
      <w:r>
        <w:rPr>
          <w:rFonts w:ascii="Consolas" w:hAnsi="Consolas"/>
          <w:sz w:val="20"/>
        </w:rPr>
        <w:t>outputs are detectable as artificially generated or manipulated.</w:t>
      </w:r>
    </w:p>
    <w:p>
      <w:pPr>
        <w:spacing w:after="40"/>
        <w:ind w:left="360"/>
      </w:pPr>
      <w:r>
        <w:rPr>
          <w:rFonts w:ascii="Consolas" w:hAnsi="Consolas"/>
          <w:sz w:val="20"/>
        </w:rPr>
        <w:t>Method owner: [ROLE]. Verified on: [DATE]. Standard/version: [REFERENCE].</w:t>
      </w:r>
    </w:p>
    <w:p>
      <w:pPr>
        <w:pStyle w:val="Heading2"/>
      </w:pPr>
      <w:r>
        <w:t>Public-facing provenance line (docs page, output footer or API response)</w:t>
      </w:r>
    </w:p>
    <w:p>
      <w:pPr>
        <w:spacing w:after="40"/>
        <w:ind w:left="360"/>
      </w:pPr>
      <w:r>
        <w:rPr>
          <w:rFonts w:ascii="Consolas" w:hAnsi="Consolas"/>
          <w:sz w:val="20"/>
        </w:rPr>
        <w:t>"Content created with [SYSTEM NAME] carries embedded provenance metadata</w:t>
      </w:r>
    </w:p>
    <w:p>
      <w:pPr>
        <w:spacing w:after="40"/>
        <w:ind w:left="360"/>
      </w:pPr>
      <w:r>
        <w:rPr>
          <w:rFonts w:ascii="Consolas" w:hAnsi="Consolas"/>
          <w:sz w:val="20"/>
        </w:rPr>
        <w:t xml:space="preserve"> identifying it as AI-generated."</w:t>
      </w:r>
    </w:p>
    <w:p>
      <w:r>
        <w:rPr>
          <w:i/>
          <w:sz w:val="19"/>
        </w:rPr>
        <w:t>Exception: the duty does not apply to the extent the system performs an assistive function for standard editing or does not substantially alter the deployer’s input data or its meaning — a partial, not blanket, exemption. Grace period: generative AI systems placed on the market before 2 August 2026 have until 2 December 2026 (Reg. (EU) 2026/1744); later systems mark from day one. Publish the public-facing line only once the marking is implemented and verified, and align its wording with the method actually used — announcing provenance metadata you do not yet embed is a false commercial claim.</w:t>
      </w:r>
    </w:p>
    <w:p>
      <w:pPr>
        <w:pStyle w:val="Heading1"/>
      </w:pPr>
      <w:r>
        <w:rPr>
          <w:color w:val="9B313A"/>
        </w:rPr>
        <w:t>T3 — Emotion-recognition / biometric-categorisation notice (deployers, Art. 50(3))</w:t>
      </w:r>
    </w:p>
    <w:p>
      <w:r>
        <w:rPr>
          <w:b w:val="0"/>
          <w:i w:val="0"/>
        </w:rPr>
        <w:t>The duty: inform the natural persons exposed to the system that it operates, and process the personal data in line with the GDPR (and, where applicable, Regulation (EU) 2018/1725 or Directive (EU) 2016/680).</w:t>
      </w:r>
    </w:p>
    <w:p>
      <w:pPr>
        <w:pStyle w:val="Heading2"/>
      </w:pPr>
      <w:r>
        <w:t>Notice text (display at the entrance / start of exposure)</w:t>
      </w:r>
    </w:p>
    <w:p>
      <w:pPr>
        <w:spacing w:after="40"/>
        <w:ind w:left="360"/>
      </w:pPr>
      <w:r>
        <w:rPr>
          <w:rFonts w:ascii="Consolas" w:hAnsi="Consolas"/>
          <w:sz w:val="20"/>
        </w:rPr>
        <w:t>"This [AREA / SERVICE / PROCESS] uses an [EMOTION-RECOGNITION / BIOMETRIC-</w:t>
      </w:r>
    </w:p>
    <w:p>
      <w:pPr>
        <w:spacing w:after="40"/>
        <w:ind w:left="360"/>
      </w:pPr>
      <w:r>
        <w:rPr>
          <w:rFonts w:ascii="Consolas" w:hAnsi="Consolas"/>
          <w:sz w:val="20"/>
        </w:rPr>
        <w:t xml:space="preserve"> CATEGORISATION] system operated by [ORGANISATION].</w:t>
      </w:r>
    </w:p>
    <w:p>
      <w:pPr>
        <w:spacing w:after="40"/>
        <w:ind w:left="360"/>
      </w:pPr>
      <w:r>
        <w:rPr>
          <w:rFonts w:ascii="Consolas" w:hAnsi="Consolas"/>
          <w:sz w:val="20"/>
        </w:rPr>
        <w:t xml:space="preserve"> The system [WHAT IT DOES, e.g. estimates customer satisfaction from voice].</w:t>
      </w:r>
    </w:p>
    <w:p>
      <w:pPr>
        <w:spacing w:after="40"/>
        <w:ind w:left="360"/>
      </w:pPr>
      <w:r>
        <w:rPr>
          <w:rFonts w:ascii="Consolas" w:hAnsi="Consolas"/>
          <w:sz w:val="20"/>
        </w:rPr>
        <w:t xml:space="preserve"> Your personal data is processed under the GDPR — full privacy notice: [LINK].</w:t>
      </w:r>
    </w:p>
    <w:p>
      <w:pPr>
        <w:spacing w:after="40"/>
        <w:ind w:left="360"/>
      </w:pPr>
      <w:r>
        <w:rPr>
          <w:rFonts w:ascii="Consolas" w:hAnsi="Consolas"/>
          <w:sz w:val="20"/>
        </w:rPr>
        <w:t xml:space="preserve"> Questions: [DPO / PRIVACY CONTACT]."</w:t>
      </w:r>
    </w:p>
    <w:p>
      <w:r>
        <w:rPr>
          <w:i/>
          <w:sz w:val="19"/>
        </w:rPr>
        <w:t>Hard limits — read before using this template: in workplaces and education institutions, inferring people’s emotions is prohibited outright by Article 5(1)(f) (narrow medical/safety exception only); and biometric categorisation that deduces race, political opinions, trade-union membership, religious or philosophical beliefs, sex life or sexual orientation is prohibited by Article 5(1)(g). No notice makes a banned use lawful. Lawful uses are typically high-risk under Annex III point 1 — always for emotion recognition (1(c)); for biometric categorisation, when based on sensitive or protected attributes (1(b)) — with their own Chapter III duties. This notice satisfies only the Art. 50(3) information duty: you separately need a GDPR Article 6 basis and an Article 9 exception (usually explicit consent), and typically a DPIA, before operating the system.</w:t>
      </w:r>
    </w:p>
    <w:p>
      <w:pPr>
        <w:pStyle w:val="Heading1"/>
      </w:pPr>
      <w:r>
        <w:rPr>
          <w:color w:val="9B313A"/>
        </w:rPr>
        <w:t>T4 — Deep-fake label (deployers, Art. 50(4), first subparagraph)</w:t>
      </w:r>
    </w:p>
    <w:p>
      <w:r>
        <w:rPr>
          <w:b w:val="0"/>
          <w:i w:val="0"/>
        </w:rPr>
        <w:t>The duty: where an AI system generates or manipulates image, audio or video content that constitutes a deep fake, disclose that the content has been artificially generated or manipulated.</w:t>
      </w:r>
    </w:p>
    <w:p>
      <w:pPr>
        <w:pStyle w:val="Heading2"/>
      </w:pPr>
      <w:r>
        <w:t>Standard label (caption, overlay or adjacent text)</w:t>
      </w:r>
    </w:p>
    <w:p>
      <w:pPr>
        <w:spacing w:after="40"/>
        <w:ind w:left="360"/>
      </w:pPr>
      <w:r>
        <w:rPr>
          <w:rFonts w:ascii="Consolas" w:hAnsi="Consolas"/>
          <w:sz w:val="20"/>
        </w:rPr>
        <w:t>"This [IMAGE / AUDIO / VIDEO] has been artificially generated [or manipulated] using AI."</w:t>
      </w:r>
    </w:p>
    <w:p>
      <w:pPr>
        <w:pStyle w:val="Heading2"/>
      </w:pPr>
      <w:r>
        <w:t>Evidently artistic, creative, satirical or fictional works — lighter form</w:t>
      </w:r>
    </w:p>
    <w:p>
      <w:pPr>
        <w:spacing w:after="40"/>
        <w:ind w:left="360"/>
      </w:pPr>
      <w:r>
        <w:rPr>
          <w:rFonts w:ascii="Consolas" w:hAnsi="Consolas"/>
          <w:sz w:val="20"/>
        </w:rPr>
        <w:t>"This work contains AI-generated [or AI-manipulated] content."</w:t>
      </w:r>
    </w:p>
    <w:p>
      <w:pPr>
        <w:spacing w:after="40"/>
        <w:ind w:left="360"/>
      </w:pPr>
      <w:r>
        <w:rPr>
          <w:rFonts w:ascii="Consolas" w:hAnsi="Consolas"/>
          <w:sz w:val="20"/>
        </w:rPr>
        <w:t xml:space="preserve"> (Place where it does not hamper the display or enjoyment of the work —</w:t>
      </w:r>
    </w:p>
    <w:p>
      <w:pPr>
        <w:spacing w:after="40"/>
        <w:ind w:left="360"/>
      </w:pPr>
      <w:r>
        <w:rPr>
          <w:rFonts w:ascii="Consolas" w:hAnsi="Consolas"/>
          <w:sz w:val="20"/>
        </w:rPr>
        <w:t xml:space="preserve">  e.g. credits, description, programme notes.)</w:t>
      </w:r>
    </w:p>
    <w:p>
      <w:pPr>
        <w:pStyle w:val="Heading1"/>
      </w:pPr>
      <w:r>
        <w:rPr>
          <w:color w:val="9B313A"/>
        </w:rPr>
        <w:t>T5 — AI-generated text on matters of public interest (deployers, Art. 50(4), second subparagraph)</w:t>
      </w:r>
    </w:p>
    <w:p>
      <w:r>
        <w:rPr>
          <w:b w:val="0"/>
          <w:i w:val="0"/>
        </w:rPr>
        <w:t>The duty: text generated or manipulated by AI and published to inform the public on matters of public interest must carry a disclosure — unless the content underwent human review or editorial control and a natural or legal person holds editorial responsibility for the publication.</w:t>
      </w:r>
    </w:p>
    <w:p>
      <w:pPr>
        <w:pStyle w:val="Heading2"/>
      </w:pPr>
      <w:r>
        <w:t>Disclosure line (byline area or article footer)</w:t>
      </w:r>
    </w:p>
    <w:p>
      <w:pPr>
        <w:spacing w:after="40"/>
        <w:ind w:left="360"/>
      </w:pPr>
      <w:r>
        <w:rPr>
          <w:rFonts w:ascii="Consolas" w:hAnsi="Consolas"/>
          <w:sz w:val="20"/>
        </w:rPr>
        <w:t>"This article was generated [in part] by an artificial intelligence system."</w:t>
      </w:r>
    </w:p>
    <w:p>
      <w:pPr>
        <w:pStyle w:val="Heading2"/>
      </w:pPr>
      <w:r>
        <w:t>If you rely on the editorial-control exemption instead, record it</w:t>
      </w:r>
    </w:p>
    <w:p>
      <w:pPr>
        <w:spacing w:after="40"/>
        <w:ind w:left="360"/>
      </w:pPr>
      <w:r>
        <w:rPr>
          <w:rFonts w:ascii="Consolas" w:hAnsi="Consolas"/>
          <w:sz w:val="20"/>
        </w:rPr>
        <w:t>Publication: [TITLE / URL]. AI system used: [SYSTEM NAME].</w:t>
      </w:r>
    </w:p>
    <w:p>
      <w:pPr>
        <w:spacing w:after="40"/>
        <w:ind w:left="360"/>
      </w:pPr>
      <w:r>
        <w:rPr>
          <w:rFonts w:ascii="Consolas" w:hAnsi="Consolas"/>
          <w:sz w:val="20"/>
        </w:rPr>
        <w:t>Human review performed by: [NAME / ROLE] on [DATE].</w:t>
      </w:r>
    </w:p>
    <w:p>
      <w:pPr>
        <w:spacing w:after="40"/>
        <w:ind w:left="360"/>
      </w:pPr>
      <w:r>
        <w:rPr>
          <w:rFonts w:ascii="Consolas" w:hAnsi="Consolas"/>
          <w:sz w:val="20"/>
        </w:rPr>
        <w:t>Editorial responsibility held by: [PERSON / LEGAL ENTITY].</w:t>
      </w:r>
    </w:p>
    <w:p>
      <w:r>
        <w:rPr>
          <w:i/>
          <w:sz w:val="19"/>
        </w:rPr>
        <w:t>Keep this record; the exemption depends on being able to show who held editorial responsibility.</w:t>
      </w:r>
    </w:p>
    <w:p>
      <w:pPr>
        <w:pStyle w:val="Heading1"/>
      </w:pPr>
      <w:r>
        <w:rPr>
          <w:color w:val="9B313A"/>
        </w:rPr>
        <w:t>2. Ten-point implementation checklist</w:t>
      </w:r>
    </w:p>
    <w:p>
      <w:pPr>
        <w:pStyle w:val="ListNumber"/>
      </w:pPr>
      <w:r>
        <w:t>List every AI system you provide or deploy that interacts with people, generates content, reads emotions, categorises by biometrics, or produces deep fakes.</w:t>
      </w:r>
    </w:p>
    <w:p>
      <w:pPr>
        <w:pStyle w:val="ListNumber"/>
      </w:pPr>
      <w:r>
        <w:t>Assign each system its Article 50 paragraph(s) using the table in section 1.</w:t>
      </w:r>
    </w:p>
    <w:p>
      <w:pPr>
        <w:pStyle w:val="ListNumber"/>
      </w:pPr>
      <w:r>
        <w:t>Adapt the matching template(s); replace every [PLACEHOLDER].</w:t>
      </w:r>
    </w:p>
    <w:p>
      <w:pPr>
        <w:pStyle w:val="ListNumber"/>
      </w:pPr>
      <w:r>
        <w:t>Place each disclosure so it is seen at or before the first interaction or exposure (Art. 50(5)).</w:t>
      </w:r>
    </w:p>
    <w:p>
      <w:pPr>
        <w:pStyle w:val="ListNumber"/>
      </w:pPr>
      <w:r>
        <w:t>Check accessibility: screen-reader compatible, not colour-only, available in the languages of your users.</w:t>
      </w:r>
    </w:p>
    <w:p>
      <w:pPr>
        <w:pStyle w:val="ListNumber"/>
      </w:pPr>
      <w:r>
        <w:t>For generative systems: implement and test machine-readable marking; record the method (T2 statement).</w:t>
      </w:r>
    </w:p>
    <w:p>
      <w:pPr>
        <w:pStyle w:val="ListNumber"/>
      </w:pPr>
      <w:r>
        <w:t>For emotion/biometric systems: verify the use is not banned by Article 5(1)(f) (workplace, education) before deploying the T3 notice.</w:t>
      </w:r>
    </w:p>
    <w:p>
      <w:pPr>
        <w:pStyle w:val="ListNumber"/>
      </w:pPr>
      <w:r>
        <w:t>Align each disclosure with your GDPR privacy notices — the duties stack, they do not replace each other.</w:t>
      </w:r>
    </w:p>
    <w:p>
      <w:pPr>
        <w:pStyle w:val="ListNumber"/>
      </w:pPr>
      <w:r>
        <w:t>Keep evidence: screenshots of disclosures, marking test results, editorial-responsibility records (T5).</w:t>
      </w:r>
    </w:p>
    <w:p>
      <w:pPr>
        <w:pStyle w:val="ListNumber"/>
      </w:pPr>
      <w:r>
        <w:t>Re-check after any product change, and watch for the Art. 50(7) codes of practice on detection and labelling.</w:t>
      </w:r>
    </w:p>
    <w:p/>
    <w:p>
      <w:r>
        <w:rPr>
          <w:i/>
          <w:sz w:val="19"/>
        </w:rPr>
        <w:t>© 2026 LandingRed — landingred.com. Free to use and adapt inside your organisation. Guide with full context: landingred.com/resources/article-50-transparency. This document is information,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