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rPr>
          <w:color w:val="9B313A"/>
        </w:rPr>
        <w:t>Compliance-Checkliste zur EU-KI-Verordnung für 2026</w:t>
      </w:r>
    </w:p>
    <w:p>
      <w:r>
        <w:rPr>
          <w:b w:val="0"/>
          <w:i w:val="0"/>
        </w:rPr>
        <w:t>Die EU-KI-Verordnung (Verordnung 2024/1689) ist der weltweit erste umfassende rechtliche Rahmen für künstliche Intelligenz. Sie trat am 1. August 2024 in Kraft, mit einem gestaffelten Umsetzungszeitplan. Dieser Leitfaden gliedert jede Pflicht nach Rolle, Risikostufe und Frist auf.</w:t>
      </w:r>
    </w:p>
    <w:p>
      <w:r>
        <w:rPr>
          <w:b w:val="0"/>
          <w:i/>
          <w:sz w:val="19"/>
        </w:rPr>
        <w:t>Haken Sie die Kästchen nach und nach ab. Dieselbe Checkliste gibt es interaktiv unter https://landingred.com/de/resources/eu-ai-act-checklist</w:t>
      </w:r>
    </w:p>
    <w:p>
      <w:pPr>
        <w:pStyle w:val="Heading2"/>
      </w:pPr>
      <w:r>
        <w:t>Wichtige Fristen</w:t>
      </w:r>
    </w:p>
    <w:tbl>
      <w:tblPr>
        <w:tblStyle w:val="LightGrid-Accent1"/>
        <w:tblW w:type="auto" w:w="0"/>
        <w:tblLook w:firstColumn="1" w:firstRow="1" w:lastColumn="0" w:lastRow="0" w:noHBand="0" w:noVBand="1" w:val="04A0"/>
      </w:tblPr>
      <w:tblGrid>
        <w:gridCol w:w="4320"/>
        <w:gridCol w:w="4320"/>
      </w:tblGrid>
      <w:tr>
        <w:tc>
          <w:tcPr>
            <w:tcW w:type="dxa" w:w="4320"/>
          </w:tcPr>
          <w:p>
            <w:r>
              <w:rPr>
                <w:b/>
              </w:rPr>
              <w:t>Datum</w:t>
            </w:r>
          </w:p>
        </w:tc>
        <w:tc>
          <w:tcPr>
            <w:tcW w:type="dxa" w:w="4320"/>
          </w:tcPr>
          <w:p>
            <w:r>
              <w:rPr>
                <w:b/>
              </w:rPr>
              <w:t>Was gilt</w:t>
            </w:r>
          </w:p>
        </w:tc>
      </w:tr>
      <w:tr>
        <w:tc>
          <w:tcPr>
            <w:tcW w:type="dxa" w:w="4320"/>
          </w:tcPr>
          <w:p>
            <w:r/>
            <w:r>
              <w:rPr>
                <w:b w:val="0"/>
              </w:rPr>
              <w:t>2. Feb. 2025</w:t>
            </w:r>
          </w:p>
        </w:tc>
        <w:tc>
          <w:tcPr>
            <w:tcW w:type="dxa" w:w="4320"/>
          </w:tcPr>
          <w:p>
            <w:r/>
            <w:r>
              <w:rPr>
                <w:b w:val="0"/>
              </w:rPr>
              <w:t>Verbotene KI-Praktiken (Artikel 5) und KI-Kompetenz (Artikel 4)</w:t>
            </w:r>
          </w:p>
        </w:tc>
      </w:tr>
      <w:tr>
        <w:tc>
          <w:tcPr>
            <w:tcW w:type="dxa" w:w="4320"/>
          </w:tcPr>
          <w:p>
            <w:r/>
            <w:r>
              <w:rPr>
                <w:b w:val="0"/>
              </w:rPr>
              <w:t>2. Aug. 2025</w:t>
            </w:r>
          </w:p>
        </w:tc>
        <w:tc>
          <w:tcPr>
            <w:tcW w:type="dxa" w:w="4320"/>
          </w:tcPr>
          <w:p>
            <w:r/>
            <w:r>
              <w:rPr>
                <w:b w:val="0"/>
              </w:rPr>
              <w:t>GPAI-Modellpflichten, Governance-Struktur, Vertraulichkeitsregeln, Sanktionsrahmen</w:t>
            </w:r>
          </w:p>
        </w:tc>
      </w:tr>
      <w:tr>
        <w:tc>
          <w:tcPr>
            <w:tcW w:type="dxa" w:w="4320"/>
          </w:tcPr>
          <w:p>
            <w:r/>
            <w:r>
              <w:rPr>
                <w:b w:val="0"/>
              </w:rPr>
              <w:t>2. Aug. 2026</w:t>
            </w:r>
          </w:p>
        </w:tc>
        <w:tc>
          <w:tcPr>
            <w:tcW w:type="dxa" w:w="4320"/>
          </w:tcPr>
          <w:p>
            <w:r/>
            <w:r>
              <w:rPr>
                <w:b w:val="0"/>
              </w:rPr>
              <w:t>Allgemeiner Geltungsbeginn: Die Verordnung gilt, außer den Teilen in den anderen Zeilen. Dazu gehören die Transparenzpflichten nach Artikel 50</w:t>
            </w:r>
          </w:p>
        </w:tc>
      </w:tr>
      <w:tr>
        <w:tc>
          <w:tcPr>
            <w:tcW w:type="dxa" w:w="4320"/>
          </w:tcPr>
          <w:p>
            <w:r/>
            <w:r>
              <w:rPr>
                <w:b w:val="0"/>
              </w:rPr>
              <w:t>2. Dez. 2026</w:t>
            </w:r>
          </w:p>
        </w:tc>
        <w:tc>
          <w:tcPr>
            <w:tcW w:type="dxa" w:w="4320"/>
          </w:tcPr>
          <w:p>
            <w:r/>
            <w:r>
              <w:rPr>
                <w:b w:val="0"/>
              </w:rPr>
              <w:t>Es gelten die neuen Verbote nach Artikel 5 Absatz 1 Buchstaben ba und bb. Anbieter generativer KI-Systeme, die vor dem 2. August 2026 in Verkehr gebracht wurden, müssen die Kennzeichnungspflicht nach Artikel 50 Absatz 2 erfüllen</w:t>
            </w:r>
          </w:p>
        </w:tc>
      </w:tr>
      <w:tr>
        <w:tc>
          <w:tcPr>
            <w:tcW w:type="dxa" w:w="4320"/>
          </w:tcPr>
          <w:p>
            <w:r/>
            <w:r>
              <w:rPr>
                <w:b w:val="0"/>
              </w:rPr>
              <w:t>2. Dez. 2027</w:t>
            </w:r>
          </w:p>
        </w:tc>
        <w:tc>
          <w:tcPr>
            <w:tcW w:type="dxa" w:w="4320"/>
          </w:tcPr>
          <w:p>
            <w:r/>
            <w:r>
              <w:rPr>
                <w:b w:val="0"/>
              </w:rPr>
              <w:t>Hochrisiko-KI-Systeme nach Anhang III: Es gelten die Artikel 6 bis 27. Sie regeln Einstufung, Anforderungen, Pflichten der Anbieter und Betreiber sowie die Grundrechte-Folgenabschätzung</w:t>
            </w:r>
          </w:p>
        </w:tc>
      </w:tr>
      <w:tr>
        <w:tc>
          <w:tcPr>
            <w:tcW w:type="dxa" w:w="4320"/>
          </w:tcPr>
          <w:p>
            <w:r/>
            <w:r>
              <w:rPr>
                <w:b w:val="0"/>
              </w:rPr>
              <w:t>2. Aug. 2028</w:t>
            </w:r>
          </w:p>
        </w:tc>
        <w:tc>
          <w:tcPr>
            <w:tcW w:type="dxa" w:w="4320"/>
          </w:tcPr>
          <w:p>
            <w:r/>
            <w:r>
              <w:rPr>
                <w:b w:val="0"/>
              </w:rPr>
              <w:t>Hochrisiko-KI-Systeme nach Artikel 6 Absatz 1 und Anhang I, etwa Sicherheitsbauteile regulierter Produkte. Es gelten die Artikel 6 bis 27</w:t>
            </w:r>
          </w:p>
        </w:tc>
      </w:tr>
      <w:tr>
        <w:tc>
          <w:tcPr>
            <w:tcW w:type="dxa" w:w="4320"/>
          </w:tcPr>
          <w:p>
            <w:r/>
            <w:r>
              <w:rPr>
                <w:b w:val="0"/>
              </w:rPr>
              <w:t>31. Dez. 2030</w:t>
            </w:r>
          </w:p>
        </w:tc>
        <w:tc>
          <w:tcPr>
            <w:tcW w:type="dxa" w:w="4320"/>
          </w:tcPr>
          <w:p>
            <w:r/>
            <w:r>
              <w:rPr>
                <w:b w:val="0"/>
              </w:rPr>
              <w:t>Legacy-KI-Systeme in großflächigen EU-IT-Systemen (Anhang X) müssen konformitätsgerecht gemacht werden</w:t>
            </w:r>
          </w:p>
        </w:tc>
      </w:tr>
    </w:tbl>
    <w:p/>
    <w:p>
      <w:pPr>
        <w:pStyle w:val="Heading2"/>
      </w:pPr>
      <w:r>
        <w:t>Verbotene KI-Praktiken (Artikel 5)</w:t>
      </w:r>
    </w:p>
    <w:p>
      <w:r>
        <w:rPr>
          <w:b w:val="0"/>
          <w:i w:val="0"/>
        </w:rPr>
        <w:t xml:space="preserve">Die folgenden KI-Praktiken sind ausnahmslos verboten, mit Geldbußen bis zu </w:t>
      </w:r>
      <w:r>
        <w:rPr>
          <w:b/>
          <w:i w:val="0"/>
        </w:rPr>
        <w:t>35 Mio. EUR</w:t>
      </w:r>
      <w:r>
        <w:rPr>
          <w:b w:val="0"/>
          <w:i w:val="0"/>
        </w:rPr>
        <w:t xml:space="preserve"> oder </w:t>
      </w:r>
      <w:r>
        <w:rPr>
          <w:b/>
          <w:i w:val="0"/>
        </w:rPr>
        <w:t>7% des weltweiten Jahresumsatzes</w:t>
      </w:r>
      <w:r>
        <w:rPr>
          <w:b w:val="0"/>
          <w:i w:val="0"/>
        </w:rPr>
        <w:t>:</w:t>
      </w:r>
    </w:p>
    <w:p>
      <w:pPr>
        <w:spacing w:after="80"/>
        <w:ind w:left="200"/>
      </w:pPr>
      <w:r>
        <w:t xml:space="preserve">☐  </w:t>
      </w:r>
      <w:r>
        <w:rPr>
          <w:b w:val="0"/>
        </w:rPr>
        <w:t>Unterschwellige Manipulation oder täuschende Techniken, die erheblichen Schaden verursachen</w:t>
      </w:r>
    </w:p>
    <w:p>
      <w:pPr>
        <w:spacing w:after="80"/>
        <w:ind w:left="200"/>
      </w:pPr>
      <w:r>
        <w:t xml:space="preserve">☐  </w:t>
      </w:r>
      <w:r>
        <w:rPr>
          <w:b w:val="0"/>
        </w:rPr>
        <w:t>Ausnutzung von Schwachstellen aufgrund von Alter, Behinderung oder sozialer/wirtschaftlicher Lage</w:t>
      </w:r>
    </w:p>
    <w:p>
      <w:pPr>
        <w:spacing w:after="80"/>
        <w:ind w:left="200"/>
      </w:pPr>
      <w:r>
        <w:t xml:space="preserve">☐  </w:t>
      </w:r>
      <w:r>
        <w:rPr>
          <w:b w:val="0"/>
        </w:rPr>
        <w:t>Soziale Bewertung von Personen durch öffentliche oder private Akteure, die zu einer Schlechterstellung außerhalb des Kontexts oder in unverhältnismäßiger Weise führt</w:t>
      </w:r>
    </w:p>
    <w:p>
      <w:pPr>
        <w:spacing w:after="80"/>
        <w:ind w:left="200"/>
      </w:pPr>
      <w:r>
        <w:t xml:space="preserve">☐  </w:t>
      </w:r>
      <w:r>
        <w:rPr>
          <w:b w:val="0"/>
        </w:rPr>
        <w:t>Echtzeit-Fernidentifikation biometrischer Daten in öffentlichen Räumen zur Strafverfolgung (mit eng begrenzten Ausnahmen)</w:t>
      </w:r>
    </w:p>
    <w:p>
      <w:pPr>
        <w:spacing w:after="80"/>
        <w:ind w:left="200"/>
      </w:pPr>
      <w:r>
        <w:t xml:space="preserve">☐  </w:t>
      </w:r>
      <w:r>
        <w:rPr>
          <w:b w:val="0"/>
        </w:rPr>
        <w:t>Ungezieltes Sammeln von Gesichtsbildern aus dem Internet oder Videoüberwachung für Gesichtserkennungsdatenbanken</w:t>
      </w:r>
    </w:p>
    <w:p>
      <w:pPr>
        <w:spacing w:after="80"/>
        <w:ind w:left="200"/>
      </w:pPr>
      <w:r>
        <w:t xml:space="preserve">☐  </w:t>
      </w:r>
      <w:r>
        <w:rPr>
          <w:b w:val="0"/>
        </w:rPr>
        <w:t>Emotionserkennung am Arbeitsplatz und in Bildungseinrichtungen (mit eng begrenzten Ausnahmen)</w:t>
      </w:r>
    </w:p>
    <w:p>
      <w:pPr>
        <w:spacing w:after="80"/>
        <w:ind w:left="200"/>
      </w:pPr>
      <w:r>
        <w:t xml:space="preserve">☐  </w:t>
      </w:r>
      <w:r>
        <w:rPr>
          <w:b w:val="0"/>
        </w:rPr>
        <w:t>Biometrische Kategorisierung zur Ableitung von Rasse, politischen Einstellungen, Gewerkschaftszugehörigkeit, religiösen oder weltanschaulichen Überzeugungen, Sexualleben oder sexueller Ausrichtung</w:t>
      </w:r>
    </w:p>
    <w:p>
      <w:pPr>
        <w:spacing w:after="80"/>
        <w:ind w:left="200"/>
      </w:pPr>
      <w:r>
        <w:t xml:space="preserve">☐  </w:t>
      </w:r>
      <w:r>
        <w:rPr>
          <w:b w:val="0"/>
        </w:rPr>
        <w:t>Individuelle Predictive Policing ausschließlich auf Basis von Profiling</w:t>
      </w:r>
    </w:p>
    <w:p>
      <w:pPr>
        <w:spacing w:after="80"/>
        <w:ind w:left="200"/>
      </w:pPr>
      <w:r>
        <w:t xml:space="preserve">☐  </w:t>
      </w:r>
      <w:r>
        <w:rPr>
          <w:b w:val="0"/>
        </w:rPr>
        <w:t>Erzeugen oder Manipulieren von nicht einvernehmlichem intimem oder sexuell explizitem Material einer identifizierbaren Person. Ergänzt durch die Verordnung (EU) 2026/1744, verboten ab dem 2. Dezember 2026</w:t>
      </w:r>
    </w:p>
    <w:p>
      <w:pPr>
        <w:spacing w:after="80"/>
        <w:ind w:left="200"/>
      </w:pPr>
      <w:r>
        <w:t xml:space="preserve">☐  </w:t>
      </w:r>
      <w:r>
        <w:rPr>
          <w:b w:val="0"/>
        </w:rPr>
        <w:t>Erzeugen oder Manipulieren von Darstellungen sexuellen Kindesmissbrauchs — ergänzt durch die Verordnung (EU) 2026/1744, verboten ab dem 2. Dezember 2026</w:t>
      </w:r>
    </w:p>
    <w:p>
      <w:pPr>
        <w:pStyle w:val="Heading2"/>
      </w:pPr>
      <w:r>
        <w:t>Anbieterpflichten (Artikel 16)</w:t>
      </w:r>
    </w:p>
    <w:p>
      <w:r>
        <w:rPr>
          <w:b w:val="0"/>
          <w:i w:val="0"/>
        </w:rPr>
        <w:t>Anbieter von Hochrisiko-KI-Systemen tragen die größte Compliance-Last. Vor dem Inverkehrbringen oder der Inbetriebnahme eines Systems müssen Anbieter:</w:t>
      </w:r>
    </w:p>
    <w:p>
      <w:pPr>
        <w:spacing w:after="80"/>
        <w:ind w:left="200"/>
      </w:pPr>
      <w:r>
        <w:t xml:space="preserve">☐  </w:t>
      </w:r>
      <w:r>
        <w:rPr>
          <w:b/>
        </w:rPr>
        <w:t>Risikomanagementsystem</w:t>
      </w:r>
      <w:r>
        <w:rPr>
          <w:b w:val="0"/>
        </w:rPr>
        <w:t xml:space="preserve"> (Art. 9) — Einen kontinuierlichen, iterativen Prozess über den gesamten Lebenszyklus des KI-Systems einrichten</w:t>
      </w:r>
    </w:p>
    <w:p>
      <w:pPr>
        <w:spacing w:after="80"/>
        <w:ind w:left="200"/>
      </w:pPr>
      <w:r>
        <w:t xml:space="preserve">☐  </w:t>
      </w:r>
      <w:r>
        <w:rPr>
          <w:b/>
        </w:rPr>
        <w:t>Data Governance</w:t>
      </w:r>
      <w:r>
        <w:rPr>
          <w:b w:val="0"/>
        </w:rPr>
        <w:t xml:space="preserve"> (Art. 10) — Sicherstellen, dass Trainings-, Validierungs- und Testdatensätze Qualitätskriterien mit angemessenen statistischen Eigenschaften erfüllen</w:t>
      </w:r>
    </w:p>
    <w:p>
      <w:pPr>
        <w:spacing w:after="80"/>
        <w:ind w:left="200"/>
      </w:pPr>
      <w:r>
        <w:t xml:space="preserve">☐  </w:t>
      </w:r>
      <w:r>
        <w:rPr>
          <w:b/>
        </w:rPr>
        <w:t>Technische Dokumentation</w:t>
      </w:r>
      <w:r>
        <w:rPr>
          <w:b w:val="0"/>
        </w:rPr>
        <w:t xml:space="preserve"> (Art. 11, Anhang IV) — Umfassende Dokumentation für alle 9 erforderlichen Abschnitte vor dem Inverkehrbringen erstellen</w:t>
      </w:r>
    </w:p>
    <w:p>
      <w:pPr>
        <w:spacing w:after="80"/>
        <w:ind w:left="200"/>
      </w:pPr>
      <w:r>
        <w:t xml:space="preserve">☐  </w:t>
      </w:r>
      <w:r>
        <w:rPr>
          <w:b/>
        </w:rPr>
        <w:t>Aufzeichnungen</w:t>
      </w:r>
      <w:r>
        <w:rPr>
          <w:b w:val="0"/>
        </w:rPr>
        <w:t xml:space="preserve"> (Art. 12) — Automatische Protokollierungsfunktionen einbauen, die der Zweckbestimmung des Systems angemessen sind</w:t>
      </w:r>
    </w:p>
    <w:p>
      <w:pPr>
        <w:spacing w:after="80"/>
        <w:ind w:left="200"/>
      </w:pPr>
      <w:r>
        <w:t xml:space="preserve">☐  </w:t>
      </w:r>
      <w:r>
        <w:rPr>
          <w:b/>
        </w:rPr>
        <w:t>Transparenz</w:t>
      </w:r>
      <w:r>
        <w:rPr>
          <w:b w:val="0"/>
        </w:rPr>
        <w:t xml:space="preserve"> (Art. 13) — Das System so gestalten, dass Betreiber die Ausgabe interpretieren und das System angemessen einsetzen können</w:t>
      </w:r>
    </w:p>
    <w:p>
      <w:pPr>
        <w:spacing w:after="80"/>
        <w:ind w:left="200"/>
      </w:pPr>
      <w:r>
        <w:t xml:space="preserve">☐  </w:t>
      </w:r>
      <w:r>
        <w:rPr>
          <w:b/>
        </w:rPr>
        <w:t>Menschliche Aufsicht</w:t>
      </w:r>
      <w:r>
        <w:rPr>
          <w:b w:val="0"/>
        </w:rPr>
        <w:t xml:space="preserve"> (Art. 14) — Maßnahmen umsetzen, die eine wirksame menschliche Aufsicht während der Nutzung ermöglichen</w:t>
      </w:r>
    </w:p>
    <w:p>
      <w:pPr>
        <w:spacing w:after="80"/>
        <w:ind w:left="200"/>
      </w:pPr>
      <w:r>
        <w:t xml:space="preserve">☐  </w:t>
      </w:r>
      <w:r>
        <w:rPr>
          <w:b/>
        </w:rPr>
        <w:t>Genauigkeit, Robustheit &amp; Cybersicherheit</w:t>
      </w:r>
      <w:r>
        <w:rPr>
          <w:b w:val="0"/>
        </w:rPr>
        <w:t xml:space="preserve"> (Art. 15) — Über den gesamten Lebenszyklus angemessene Niveaus erreichen</w:t>
      </w:r>
    </w:p>
    <w:p>
      <w:pPr>
        <w:spacing w:after="80"/>
        <w:ind w:left="200"/>
      </w:pPr>
      <w:r>
        <w:t xml:space="preserve">☐  </w:t>
      </w:r>
      <w:r>
        <w:rPr>
          <w:b/>
        </w:rPr>
        <w:t>Qualitätsmanagementsystem</w:t>
      </w:r>
      <w:r>
        <w:rPr>
          <w:b w:val="0"/>
        </w:rPr>
        <w:t xml:space="preserve"> (Art. 17) — Richtlinien und Verfahren dokumentieren, die fortlaufende Compliance sicherstellen</w:t>
      </w:r>
    </w:p>
    <w:p>
      <w:pPr>
        <w:spacing w:after="80"/>
        <w:ind w:left="200"/>
      </w:pPr>
      <w:r>
        <w:t xml:space="preserve">☐  </w:t>
      </w:r>
      <w:r>
        <w:rPr>
          <w:b/>
        </w:rPr>
        <w:t>Konformitätsbewertung</w:t>
      </w:r>
      <w:r>
        <w:rPr>
          <w:b w:val="0"/>
        </w:rPr>
        <w:t xml:space="preserve"> (Art. 43) — Das geeignete Bewertungsverfahren vor dem Inverkehrbringen abschließen</w:t>
      </w:r>
    </w:p>
    <w:p>
      <w:pPr>
        <w:spacing w:after="80"/>
        <w:ind w:left="200"/>
      </w:pPr>
      <w:r>
        <w:t xml:space="preserve">☐  </w:t>
      </w:r>
      <w:r>
        <w:rPr>
          <w:b/>
        </w:rPr>
        <w:t>EU-Konformitätserklärung</w:t>
      </w:r>
      <w:r>
        <w:rPr>
          <w:b w:val="0"/>
        </w:rPr>
        <w:t xml:space="preserve"> (Art. 47) — Für jedes Hochrisiko-KI-System erstellen und aktuell halten</w:t>
      </w:r>
    </w:p>
    <w:p>
      <w:pPr>
        <w:spacing w:after="80"/>
        <w:ind w:left="200"/>
      </w:pPr>
      <w:r>
        <w:t xml:space="preserve">☐  </w:t>
      </w:r>
      <w:r>
        <w:rPr>
          <w:b/>
        </w:rPr>
        <w:t>CE-Kennzeichnung</w:t>
      </w:r>
      <w:r>
        <w:rPr>
          <w:b w:val="0"/>
        </w:rPr>
        <w:t xml:space="preserve"> (Art. 48) — Sichtbar, lesbar und unauslöschlich am System anbringen</w:t>
      </w:r>
    </w:p>
    <w:p>
      <w:pPr>
        <w:spacing w:after="80"/>
        <w:ind w:left="200"/>
      </w:pPr>
      <w:r>
        <w:t xml:space="preserve">☐  </w:t>
      </w:r>
      <w:r>
        <w:rPr>
          <w:b/>
        </w:rPr>
        <w:t>EU-Datenbank-Registrierung</w:t>
      </w:r>
      <w:r>
        <w:rPr>
          <w:b w:val="0"/>
        </w:rPr>
        <w:t xml:space="preserve"> (Art. 49) — System und Anbieter vor dem Inverkehrbringen in der EU-Datenbank registrieren</w:t>
      </w:r>
    </w:p>
    <w:p>
      <w:pPr>
        <w:pStyle w:val="Heading2"/>
      </w:pPr>
      <w:r>
        <w:t>Betreiberpflichten (Artikel 26)</w:t>
      </w:r>
    </w:p>
    <w:p>
      <w:r>
        <w:rPr>
          <w:b w:val="0"/>
          <w:i w:val="0"/>
        </w:rPr>
        <w:t>Organisationen, die Hochrisiko-KI-Systeme verwenden (Betreiber), haben eigene Pflichten:</w:t>
      </w:r>
    </w:p>
    <w:p>
      <w:pPr>
        <w:spacing w:after="80"/>
        <w:ind w:left="200"/>
      </w:pPr>
      <w:r>
        <w:t xml:space="preserve">☐  </w:t>
      </w:r>
      <w:r>
        <w:rPr>
          <w:b/>
        </w:rPr>
        <w:t>Nutzung gemäß Anweisung</w:t>
      </w:r>
      <w:r>
        <w:rPr>
          <w:b w:val="0"/>
        </w:rPr>
        <w:t xml:space="preserve"> — Geeignete technische und organisatorische Maßnahmen umsetzen, um das System gemäß der Betriebsanleitung des Anbieters einzusetzen</w:t>
      </w:r>
    </w:p>
    <w:p>
      <w:pPr>
        <w:spacing w:after="80"/>
        <w:ind w:left="200"/>
      </w:pPr>
      <w:r>
        <w:t xml:space="preserve">☐  </w:t>
      </w:r>
      <w:r>
        <w:rPr>
          <w:b/>
        </w:rPr>
        <w:t>Menschliche Aufsicht</w:t>
      </w:r>
      <w:r>
        <w:rPr>
          <w:b w:val="0"/>
        </w:rPr>
        <w:t xml:space="preserve"> — Qualifizierte Personen mit der erforderlichen Kompetenz, Schulung, Befugnis und Unterstützung benennen, um den Systembetrieb zu überwachen</w:t>
      </w:r>
    </w:p>
    <w:p>
      <w:pPr>
        <w:spacing w:after="80"/>
        <w:ind w:left="200"/>
      </w:pPr>
      <w:r>
        <w:t xml:space="preserve">☐  </w:t>
      </w:r>
      <w:r>
        <w:rPr>
          <w:b/>
        </w:rPr>
        <w:t>Eingabedaten-Relevanz</w:t>
      </w:r>
      <w:r>
        <w:rPr>
          <w:b w:val="0"/>
        </w:rPr>
        <w:t xml:space="preserve"> — Wenn der Betreiber die Eingabedaten kontrolliert, sicherstellen, dass sie für die Zweckbestimmung relevant und ausreichend repräsentativ sind</w:t>
      </w:r>
    </w:p>
    <w:p>
      <w:pPr>
        <w:spacing w:after="80"/>
        <w:ind w:left="200"/>
      </w:pPr>
      <w:r>
        <w:t xml:space="preserve">☐  </w:t>
      </w:r>
      <w:r>
        <w:rPr>
          <w:b/>
        </w:rPr>
        <w:t>Überwachung</w:t>
      </w:r>
      <w:r>
        <w:rPr>
          <w:b w:val="0"/>
        </w:rPr>
        <w:t xml:space="preserve"> (Art. 26 Abs. 5) — Den Betrieb des Systems anhand der Betriebsanleitung überwachen. Birgt es ein Risiko, die Verwendung aussetzen und den Anbieter oder Händler sowie die Marktüberwachungsbehörde informieren. Einen schwerwiegenden Vorfall zuerst dem Anbieter melden, dann dem Einführer oder Händler und der Behörde</w:t>
      </w:r>
    </w:p>
    <w:p>
      <w:pPr>
        <w:spacing w:after="80"/>
        <w:ind w:left="200"/>
      </w:pPr>
      <w:r>
        <w:t xml:space="preserve">☐  </w:t>
      </w:r>
      <w:r>
        <w:rPr>
          <w:b/>
        </w:rPr>
        <w:t>Log-Aufbewahrung</w:t>
      </w:r>
      <w:r>
        <w:rPr>
          <w:b w:val="0"/>
        </w:rPr>
        <w:t xml:space="preserve"> — Automatisch erzeugte Logs für mindestens 6 Monate aufbewahren</w:t>
      </w:r>
    </w:p>
    <w:p>
      <w:pPr>
        <w:spacing w:after="80"/>
        <w:ind w:left="200"/>
      </w:pPr>
      <w:r>
        <w:t xml:space="preserve">☐  </w:t>
      </w:r>
      <w:r>
        <w:rPr>
          <w:b/>
        </w:rPr>
        <w:t>Arbeitnehmerinformation</w:t>
      </w:r>
      <w:r>
        <w:rPr>
          <w:b w:val="0"/>
        </w:rPr>
        <w:t xml:space="preserve"> — Arbeitnehmervertreter und betroffene Arbeitnehmer informieren, bevor ein Hochrisiko-KI-System am Arbeitsplatz verwendet wird</w:t>
      </w:r>
    </w:p>
    <w:p>
      <w:pPr>
        <w:spacing w:after="80"/>
        <w:ind w:left="200"/>
      </w:pPr>
      <w:r>
        <w:t xml:space="preserve">☐  </w:t>
      </w:r>
      <w:r>
        <w:rPr>
          <w:b/>
        </w:rPr>
        <w:t>Grundrechte-Folgenabschätzung</w:t>
      </w:r>
      <w:r>
        <w:rPr>
          <w:b w:val="0"/>
        </w:rPr>
        <w:t xml:space="preserve"> (Art. 27) — Vor der ersten Verwendung die Auswirkungen des Systems auf die Grundrechte abschätzen. Das gilt für Einrichtungen des öffentlichen Rechts und private Einrichtungen, die öffentliche Dienste erbringen. Es gilt auch für Betreiber von Systemen zur Bonitätsbewertung oder zur Preisbildung bei Lebens- und Krankenversicherungen</w:t>
      </w:r>
    </w:p>
    <w:p>
      <w:pPr>
        <w:spacing w:after="80"/>
        <w:ind w:left="200"/>
      </w:pPr>
      <w:r>
        <w:t xml:space="preserve">☐  </w:t>
      </w:r>
      <w:r>
        <w:rPr>
          <w:b/>
        </w:rPr>
        <w:t>KI-Kompetenz (Artikel 4)</w:t>
      </w:r>
      <w:r>
        <w:rPr>
          <w:b w:val="0"/>
        </w:rPr>
        <w:t xml:space="preserve"> — Maßnahmen ergreifen, um die KI-Kompetenz des Personals und anderer Personen zu unterstützen, die in Ihrem Auftrag KI-Systeme betreiben oder nutzen. Ein bestimmtes Niveau ist nicht vorgeschrieben. Die Pflicht gilt für jedes KI-System, nicht nur für Hochrisiko-KI-Systeme</w:t>
      </w:r>
    </w:p>
    <w:p>
      <w:pPr>
        <w:pStyle w:val="Heading2"/>
      </w:pPr>
      <w:r>
        <w:t>Pflichten der Einführer und Händler</w:t>
      </w:r>
    </w:p>
    <w:p>
      <w:r>
        <w:rPr>
          <w:b/>
          <w:i w:val="0"/>
        </w:rPr>
        <w:t>Einführer</w:t>
      </w:r>
      <w:r>
        <w:rPr>
          <w:b w:val="0"/>
          <w:i w:val="0"/>
        </w:rPr>
        <w:t xml:space="preserve"> (Artikel 23) müssen überprüfen, dass der Anbieter die Konformitätsbewertung abgeschlossen, die technische Dokumentation erstellt, die CE-Kennzeichnung angebracht und einen Bevollmächtigten benannt hat. Ein nicht konformes System dürfen sie nicht in Verkehr bringen.</w:t>
      </w:r>
    </w:p>
    <w:p>
      <w:r>
        <w:rPr>
          <w:b/>
          <w:i w:val="0"/>
        </w:rPr>
        <w:t>Händler</w:t>
      </w:r>
      <w:r>
        <w:rPr>
          <w:b w:val="0"/>
          <w:i w:val="0"/>
        </w:rPr>
        <w:t xml:space="preserve"> (Artikel 24) müssen das Vorhandensein von CE-Kennzeichnung, EU-Konformitätserklärung und Gebrauchsanweisung überprüfen. Sie müssen sicherstellen, dass Lagerungs- und Transportbedingungen die Konformität nicht beeinträchtigen.</w:t>
      </w:r>
    </w:p>
    <w:p>
      <w:pPr>
        <w:pStyle w:val="Heading2"/>
      </w:pPr>
      <w:r>
        <w:t>Sanktionsstruktur (Artikel 99)</w:t>
      </w:r>
    </w:p>
    <w:tbl>
      <w:tblPr>
        <w:tblStyle w:val="LightGrid-Accent1"/>
        <w:tblW w:type="auto" w:w="0"/>
        <w:tblLook w:firstColumn="1" w:firstRow="1" w:lastColumn="0" w:lastRow="0" w:noHBand="0" w:noVBand="1" w:val="04A0"/>
      </w:tblPr>
      <w:tblGrid>
        <w:gridCol w:w="4320"/>
        <w:gridCol w:w="4320"/>
      </w:tblGrid>
      <w:tr>
        <w:tc>
          <w:tcPr>
            <w:tcW w:type="dxa" w:w="4320"/>
          </w:tcPr>
          <w:p>
            <w:r>
              <w:rPr>
                <w:b/>
              </w:rPr>
              <w:t>Verstoß</w:t>
            </w:r>
          </w:p>
        </w:tc>
        <w:tc>
          <w:tcPr>
            <w:tcW w:type="dxa" w:w="4320"/>
          </w:tcPr>
          <w:p>
            <w:r>
              <w:rPr>
                <w:b/>
              </w:rPr>
              <w:t>Maximale Geldbuße</w:t>
            </w:r>
          </w:p>
        </w:tc>
      </w:tr>
      <w:tr>
        <w:tc>
          <w:tcPr>
            <w:tcW w:type="dxa" w:w="4320"/>
          </w:tcPr>
          <w:p>
            <w:r/>
            <w:r>
              <w:rPr>
                <w:b w:val="0"/>
              </w:rPr>
              <w:t>Verbotene KI-Praktiken (Art. 5)</w:t>
            </w:r>
          </w:p>
        </w:tc>
        <w:tc>
          <w:tcPr>
            <w:tcW w:type="dxa" w:w="4320"/>
          </w:tcPr>
          <w:p>
            <w:r/>
            <w:r>
              <w:rPr>
                <w:b/>
              </w:rPr>
              <w:t>35 Mio. EUR</w:t>
            </w:r>
            <w:r>
              <w:rPr>
                <w:b w:val="0"/>
              </w:rPr>
              <w:t xml:space="preserve"> oder </w:t>
            </w:r>
            <w:r>
              <w:rPr>
                <w:b/>
              </w:rPr>
              <w:t>7%</w:t>
            </w:r>
            <w:r>
              <w:rPr>
                <w:b w:val="0"/>
              </w:rPr>
              <w:t xml:space="preserve"> des weltweiten Umsatzes</w:t>
            </w:r>
          </w:p>
        </w:tc>
      </w:tr>
      <w:tr>
        <w:tc>
          <w:tcPr>
            <w:tcW w:type="dxa" w:w="4320"/>
          </w:tcPr>
          <w:p>
            <w:r/>
            <w:r>
              <w:rPr>
                <w:b w:val="0"/>
              </w:rPr>
              <w:t>Pflichten von Anbieter, Betreiber, Einführer, Händler</w:t>
            </w:r>
          </w:p>
        </w:tc>
        <w:tc>
          <w:tcPr>
            <w:tcW w:type="dxa" w:w="4320"/>
          </w:tcPr>
          <w:p>
            <w:r/>
            <w:r>
              <w:rPr>
                <w:b/>
              </w:rPr>
              <w:t>15 Mio. EUR</w:t>
            </w:r>
            <w:r>
              <w:rPr>
                <w:b w:val="0"/>
              </w:rPr>
              <w:t xml:space="preserve"> oder </w:t>
            </w:r>
            <w:r>
              <w:rPr>
                <w:b/>
              </w:rPr>
              <w:t>3%</w:t>
            </w:r>
            <w:r>
              <w:rPr>
                <w:b w:val="0"/>
              </w:rPr>
              <w:t xml:space="preserve"> des weltweiten Umsatzes</w:t>
            </w:r>
          </w:p>
        </w:tc>
      </w:tr>
      <w:tr>
        <w:tc>
          <w:tcPr>
            <w:tcW w:type="dxa" w:w="4320"/>
          </w:tcPr>
          <w:p>
            <w:r/>
            <w:r>
              <w:rPr>
                <w:b w:val="0"/>
              </w:rPr>
              <w:t>Unrichtige oder irreführende Angaben gegenüber Behörden</w:t>
            </w:r>
          </w:p>
        </w:tc>
        <w:tc>
          <w:tcPr>
            <w:tcW w:type="dxa" w:w="4320"/>
          </w:tcPr>
          <w:p>
            <w:r/>
            <w:r>
              <w:rPr>
                <w:b/>
              </w:rPr>
              <w:t>7,5 Mio. EUR</w:t>
            </w:r>
            <w:r>
              <w:rPr>
                <w:b w:val="0"/>
              </w:rPr>
              <w:t xml:space="preserve"> oder </w:t>
            </w:r>
            <w:r>
              <w:rPr>
                <w:b/>
              </w:rPr>
              <w:t>1%</w:t>
            </w:r>
            <w:r>
              <w:rPr>
                <w:b w:val="0"/>
              </w:rPr>
              <w:t xml:space="preserve"> des weltweiten Umsatzes</w:t>
            </w:r>
          </w:p>
        </w:tc>
      </w:tr>
    </w:tbl>
    <w:p/>
    <w:p>
      <w:r>
        <w:rPr>
          <w:b w:val="0"/>
          <w:i/>
          <w:sz w:val="19"/>
        </w:rPr>
        <w:t>Für KMU und Start-ups sind Geldbußen auf den jeweils niedrigeren Wert (Prozentsatz oder Festbetrag) begrenzt. Mildernde Umstände sind etwa Selbstanzeige, Grad der Kooperation und bereits umgesetzte technische Maßnahmen.</w:t>
      </w:r>
    </w:p>
    <w:p>
      <w:r>
        <w:rPr>
          <w:b/>
          <w:i w:val="0"/>
        </w:rPr>
        <w:t>Fazit:</w:t>
      </w:r>
      <w:r>
        <w:rPr>
          <w:b w:val="0"/>
          <w:i w:val="0"/>
        </w:rPr>
        <w:t xml:space="preserve"> Der EU AI Act ist nicht optional. Wenn Sie KI-Systeme in der EU entwickeln, einsetzen, einführen oder vertreiben, müssen Sie Ihre Pflichten jetzt erfassen. Die Regeln für verbotene Praktiken und zur KI-Kompetenz gelten bereits. Seit dem 2. August 2026 gelten auch die Transparenzpflichten nach Artikel 50. Die Hochrisiko-Pflichten gelten ab dem 2. Dezember 2027 für Systeme nach Anhang III und ab dem 2. August 2028 für Systeme nach Anhang I. Der Digital Omnibus (Verordnung (EU) 2026/1744) hat beide Termine verschoben.</w:t>
      </w:r>
    </w:p>
    <w:p>
      <w:r>
        <w:rPr>
          <w:b w:val="0"/>
          <w:i/>
          <w:sz w:val="19"/>
        </w:rPr>
        <w:t>Diese Checkliste dient der Orientierung und ist keine Rechtsberatung. Sie wurde am konsolidierten Text der Verordnung (EU) 2024/1689 geprüft, geändert durch die Verordnung (EU) 2026/1744.</w:t>
      </w:r>
    </w:p>
    <w:p>
      <w:r>
        <w:rPr>
          <w:b w:val="0"/>
          <w:i/>
          <w:sz w:val="19"/>
        </w:rPr>
        <w:t>KI-Verordnung-Selbstbewertung (kostenlos, ~3 Minuten): https://landingred.com/de/assessment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Compliance-Checkliste zur EU-KI-Verordnung für 2026</dc:title>
  <dc:subject>Diese Checkliste dient der Orientierung und ist keine Rechtsberatung. Sie wurde am konsolidierten Text der Verordnung (EU) 2024/1689 geprüft, geändert durch die Verordnung (EU) 2026/1744.</dc:subject>
  <dc:creator>LandingRed</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