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9B313A"/>
        </w:rPr>
        <w:t>Checklist de conformité au règlement IA UE pour 2026</w:t>
      </w:r>
    </w:p>
    <w:p>
      <w:r>
        <w:rPr>
          <w:b w:val="0"/>
          <w:i w:val="0"/>
        </w:rPr>
        <w:t>Le règlement IA UE (Règlement 2024/1689) est le premier cadre juridique complet au monde pour l'intelligence artificielle. Il est entré en vigueur le 1er août 2024 avec un calendrier de mise en œuvre échelonné. Ce guide détaille chaque obligation par rôle, niveau de risque et échéance.</w:t>
      </w:r>
    </w:p>
    <w:p>
      <w:r>
        <w:rPr>
          <w:b w:val="0"/>
          <w:i/>
          <w:sz w:val="19"/>
        </w:rPr>
        <w:t>Cochez les cases au fur et à mesure. La même check-list est interactive sur https://landingred.com/fr/resources/eu-ai-act-checklist</w:t>
      </w:r>
    </w:p>
    <w:p>
      <w:pPr>
        <w:pStyle w:val="Heading2"/>
      </w:pPr>
      <w:r>
        <w:t>Échéances clés</w:t>
      </w:r>
    </w:p>
    <w:tbl>
      <w:tblPr>
        <w:tblStyle w:val="LightGrid-Accent1"/>
        <w:tblW w:type="auto" w:w="0"/>
        <w:tblLook w:firstColumn="1" w:firstRow="1" w:lastColumn="0" w:lastRow="0" w:noHBand="0" w:noVBand="1" w:val="04A0"/>
      </w:tblPr>
      <w:tblGrid>
        <w:gridCol w:w="4320"/>
        <w:gridCol w:w="4320"/>
      </w:tblGrid>
      <w:tr>
        <w:tc>
          <w:tcPr>
            <w:tcW w:type="dxa" w:w="4320"/>
          </w:tcPr>
          <w:p>
            <w:r>
              <w:rPr>
                <w:b/>
              </w:rPr>
              <w:t>Date</w:t>
            </w:r>
          </w:p>
        </w:tc>
        <w:tc>
          <w:tcPr>
            <w:tcW w:type="dxa" w:w="4320"/>
          </w:tcPr>
          <w:p>
            <w:r>
              <w:rPr>
                <w:b/>
              </w:rPr>
              <w:t>Ce qui s'applique</w:t>
            </w:r>
          </w:p>
        </w:tc>
      </w:tr>
      <w:tr>
        <w:tc>
          <w:tcPr>
            <w:tcW w:type="dxa" w:w="4320"/>
          </w:tcPr>
          <w:p>
            <w:r/>
            <w:r>
              <w:rPr>
                <w:b w:val="0"/>
              </w:rPr>
              <w:t>2 fév. 2025</w:t>
            </w:r>
          </w:p>
        </w:tc>
        <w:tc>
          <w:tcPr>
            <w:tcW w:type="dxa" w:w="4320"/>
          </w:tcPr>
          <w:p>
            <w:r/>
            <w:r>
              <w:rPr>
                <w:b w:val="0"/>
              </w:rPr>
              <w:t>Pratiques d'IA interdites (article 5) et maîtrise de l'IA (article 4)</w:t>
            </w:r>
          </w:p>
        </w:tc>
      </w:tr>
      <w:tr>
        <w:tc>
          <w:tcPr>
            <w:tcW w:type="dxa" w:w="4320"/>
          </w:tcPr>
          <w:p>
            <w:r/>
            <w:r>
              <w:rPr>
                <w:b w:val="0"/>
              </w:rPr>
              <w:t>2 août 2025</w:t>
            </w:r>
          </w:p>
        </w:tc>
        <w:tc>
          <w:tcPr>
            <w:tcW w:type="dxa" w:w="4320"/>
          </w:tcPr>
          <w:p>
            <w:r/>
            <w:r>
              <w:rPr>
                <w:b w:val="0"/>
              </w:rPr>
              <w:t>Obligations relatives aux modèles GPAI, structure de gouvernance, règles de confidentialité, cadre de sanctions</w:t>
            </w:r>
          </w:p>
        </w:tc>
      </w:tr>
      <w:tr>
        <w:tc>
          <w:tcPr>
            <w:tcW w:type="dxa" w:w="4320"/>
          </w:tcPr>
          <w:p>
            <w:r/>
            <w:r>
              <w:rPr>
                <w:b w:val="0"/>
              </w:rPr>
              <w:t>2 août 2026</w:t>
            </w:r>
          </w:p>
        </w:tc>
        <w:tc>
          <w:tcPr>
            <w:tcW w:type="dxa" w:w="4320"/>
          </w:tcPr>
          <w:p>
            <w:r/>
            <w:r>
              <w:rPr>
                <w:b w:val="0"/>
              </w:rPr>
              <w:t>Date générale d'application : le règlement s'applique, sauf les parties des autres lignes. Cela inclut les obligations de transparence de l'article 50</w:t>
            </w:r>
          </w:p>
        </w:tc>
      </w:tr>
      <w:tr>
        <w:tc>
          <w:tcPr>
            <w:tcW w:type="dxa" w:w="4320"/>
          </w:tcPr>
          <w:p>
            <w:r/>
            <w:r>
              <w:rPr>
                <w:b w:val="0"/>
              </w:rPr>
              <w:t>2 déc. 2026</w:t>
            </w:r>
          </w:p>
        </w:tc>
        <w:tc>
          <w:tcPr>
            <w:tcW w:type="dxa" w:w="4320"/>
          </w:tcPr>
          <w:p>
            <w:r/>
            <w:r>
              <w:rPr>
                <w:b w:val="0"/>
              </w:rPr>
              <w:t>Les nouvelles interdictions de l'article 5, points b bis) et b ter), s'appliquent. Les fournisseurs de systèmes d'IA générative mis sur le marché avant le 2 août 2026 doivent respecter l'obligation de marquage de l'article 50, paragraphe 2</w:t>
            </w:r>
          </w:p>
        </w:tc>
      </w:tr>
      <w:tr>
        <w:tc>
          <w:tcPr>
            <w:tcW w:type="dxa" w:w="4320"/>
          </w:tcPr>
          <w:p>
            <w:r/>
            <w:r>
              <w:rPr>
                <w:b w:val="0"/>
              </w:rPr>
              <w:t>2 déc. 2027</w:t>
            </w:r>
          </w:p>
        </w:tc>
        <w:tc>
          <w:tcPr>
            <w:tcW w:type="dxa" w:w="4320"/>
          </w:tcPr>
          <w:p>
            <w:r/>
            <w:r>
              <w:rPr>
                <w:b w:val="0"/>
              </w:rPr>
              <w:t>Systèmes d'IA à haut risque de l'annexe III : les articles 6 à 27 s'appliquent. Ils couvrent la classification, les exigences, les obligations des fournisseurs et des déployeurs et l'analyse d'impact sur les droits fondamentaux</w:t>
            </w:r>
          </w:p>
        </w:tc>
      </w:tr>
      <w:tr>
        <w:tc>
          <w:tcPr>
            <w:tcW w:type="dxa" w:w="4320"/>
          </w:tcPr>
          <w:p>
            <w:r/>
            <w:r>
              <w:rPr>
                <w:b w:val="0"/>
              </w:rPr>
              <w:t>2 août 2028</w:t>
            </w:r>
          </w:p>
        </w:tc>
        <w:tc>
          <w:tcPr>
            <w:tcW w:type="dxa" w:w="4320"/>
          </w:tcPr>
          <w:p>
            <w:r/>
            <w:r>
              <w:rPr>
                <w:b w:val="0"/>
              </w:rPr>
              <w:t>Systèmes d'IA à haut risque relevant de l'article 6, paragraphe 1, et de l'annexe I, comme les composants de sécurité de produits réglementés. Les articles 6 à 27 s'appliquent</w:t>
            </w:r>
          </w:p>
        </w:tc>
      </w:tr>
      <w:tr>
        <w:tc>
          <w:tcPr>
            <w:tcW w:type="dxa" w:w="4320"/>
          </w:tcPr>
          <w:p>
            <w:r/>
            <w:r>
              <w:rPr>
                <w:b w:val="0"/>
              </w:rPr>
              <w:t>31 déc. 2030</w:t>
            </w:r>
          </w:p>
        </w:tc>
        <w:tc>
          <w:tcPr>
            <w:tcW w:type="dxa" w:w="4320"/>
          </w:tcPr>
          <w:p>
            <w:r/>
            <w:r>
              <w:rPr>
                <w:b w:val="0"/>
              </w:rPr>
              <w:t>Les systèmes d'IA legacy dans les systèmes informatiques UE à grande échelle (Annexe X) doivent être mis en conformité</w:t>
            </w:r>
          </w:p>
        </w:tc>
      </w:tr>
    </w:tbl>
    <w:p/>
    <w:p>
      <w:pPr>
        <w:pStyle w:val="Heading2"/>
      </w:pPr>
      <w:r>
        <w:t>Pratiques d'IA interdites (Article 5)</w:t>
      </w:r>
    </w:p>
    <w:p>
      <w:r>
        <w:rPr>
          <w:b w:val="0"/>
          <w:i w:val="0"/>
        </w:rPr>
        <w:t xml:space="preserve">Les pratiques d'IA suivantes sont strictement interdites, avec des amendes pouvant atteindre </w:t>
      </w:r>
      <w:r>
        <w:rPr>
          <w:b/>
          <w:i w:val="0"/>
        </w:rPr>
        <w:t>35 millions d'EUR</w:t>
      </w:r>
      <w:r>
        <w:rPr>
          <w:b w:val="0"/>
          <w:i w:val="0"/>
        </w:rPr>
        <w:t xml:space="preserve"> ou </w:t>
      </w:r>
      <w:r>
        <w:rPr>
          <w:b/>
          <w:i w:val="0"/>
        </w:rPr>
        <w:t>7 % du chiffre d'affaires annuel mondial</w:t>
      </w:r>
      <w:r>
        <w:rPr>
          <w:b w:val="0"/>
          <w:i w:val="0"/>
        </w:rPr>
        <w:t xml:space="preserve"> :</w:t>
      </w:r>
    </w:p>
    <w:p>
      <w:pPr>
        <w:spacing w:after="80"/>
        <w:ind w:left="200"/>
      </w:pPr>
      <w:r>
        <w:t xml:space="preserve">☐  </w:t>
      </w:r>
      <w:r>
        <w:rPr>
          <w:b w:val="0"/>
        </w:rPr>
        <w:t>Manipulation subliminale ou techniques trompeuses causant un préjudice important</w:t>
      </w:r>
    </w:p>
    <w:p>
      <w:pPr>
        <w:spacing w:after="80"/>
        <w:ind w:left="200"/>
      </w:pPr>
      <w:r>
        <w:t xml:space="preserve">☐  </w:t>
      </w:r>
      <w:r>
        <w:rPr>
          <w:b w:val="0"/>
        </w:rPr>
        <w:t>Exploitation de vulnérabilités liées à l'âge, au handicap ou à la situation sociale/économique</w:t>
      </w:r>
    </w:p>
    <w:p>
      <w:pPr>
        <w:spacing w:after="80"/>
        <w:ind w:left="200"/>
      </w:pPr>
      <w:r>
        <w:t xml:space="preserve">☐  </w:t>
      </w:r>
      <w:r>
        <w:rPr>
          <w:b w:val="0"/>
        </w:rPr>
        <w:t>Notation sociale des personnes, par des acteurs publics ou privés, entraînant un traitement préjudiciable hors contexte ou disproportionné</w:t>
      </w:r>
    </w:p>
    <w:p>
      <w:pPr>
        <w:spacing w:after="80"/>
        <w:ind w:left="200"/>
      </w:pPr>
      <w:r>
        <w:t xml:space="preserve">☐  </w:t>
      </w:r>
      <w:r>
        <w:rPr>
          <w:b w:val="0"/>
        </w:rPr>
        <w:t>Identification biométrique à distance en temps réel dans les espaces publics à des fins répressives (avec exceptions limitées)</w:t>
      </w:r>
    </w:p>
    <w:p>
      <w:pPr>
        <w:spacing w:after="80"/>
        <w:ind w:left="200"/>
      </w:pPr>
      <w:r>
        <w:t xml:space="preserve">☐  </w:t>
      </w:r>
      <w:r>
        <w:rPr>
          <w:b w:val="0"/>
        </w:rPr>
        <w:t>Extraction non ciblée d'images faciales depuis Internet ou la vidéosurveillance pour des bases de reconnaissance faciale</w:t>
      </w:r>
    </w:p>
    <w:p>
      <w:pPr>
        <w:spacing w:after="80"/>
        <w:ind w:left="200"/>
      </w:pPr>
      <w:r>
        <w:t xml:space="preserve">☐  </w:t>
      </w:r>
      <w:r>
        <w:rPr>
          <w:b w:val="0"/>
        </w:rPr>
        <w:t>Reconnaissance des émotions sur les lieux de travail et dans les établissements d'enseignement (avec exceptions limitées)</w:t>
      </w:r>
    </w:p>
    <w:p>
      <w:pPr>
        <w:spacing w:after="80"/>
        <w:ind w:left="200"/>
      </w:pPr>
      <w:r>
        <w:t xml:space="preserve">☐  </w:t>
      </w:r>
      <w:r>
        <w:rPr>
          <w:b w:val="0"/>
        </w:rPr>
        <w:t>Catégorisation biométrique pour déduire la race, les opinions politiques, l'affiliation à une organisation syndicale, les convictions religieuses ou philosophiques, la vie sexuelle ou l'orientation sexuelle</w:t>
      </w:r>
    </w:p>
    <w:p>
      <w:pPr>
        <w:spacing w:after="80"/>
        <w:ind w:left="200"/>
      </w:pPr>
      <w:r>
        <w:t xml:space="preserve">☐  </w:t>
      </w:r>
      <w:r>
        <w:rPr>
          <w:b w:val="0"/>
        </w:rPr>
        <w:t>Police prédictive individuelle fondée uniquement sur le profilage</w:t>
      </w:r>
    </w:p>
    <w:p>
      <w:pPr>
        <w:spacing w:after="80"/>
        <w:ind w:left="200"/>
      </w:pPr>
      <w:r>
        <w:t xml:space="preserve">☐  </w:t>
      </w:r>
      <w:r>
        <w:rPr>
          <w:b w:val="0"/>
        </w:rPr>
        <w:t>Générer ou manipuler du contenu intime ou sexuellement explicite non consenti d'une personne identifiable. Ajouté par le règlement (UE) 2026/1744, interdit à partir du 2 décembre 2026</w:t>
      </w:r>
    </w:p>
    <w:p>
      <w:pPr>
        <w:spacing w:after="80"/>
        <w:ind w:left="200"/>
      </w:pPr>
      <w:r>
        <w:t xml:space="preserve">☐  </w:t>
      </w:r>
      <w:r>
        <w:rPr>
          <w:b w:val="0"/>
        </w:rPr>
        <w:t>Générer ou manipuler du matériel pédopornographique — ajouté par le règlement (UE) 2026/1744, interdit à partir du 2 décembre 2026</w:t>
      </w:r>
    </w:p>
    <w:p>
      <w:pPr>
        <w:pStyle w:val="Heading2"/>
      </w:pPr>
      <w:r>
        <w:t>Obligations du fournisseur (Article 16)</w:t>
      </w:r>
    </w:p>
    <w:p>
      <w:r>
        <w:rPr>
          <w:b w:val="0"/>
          <w:i w:val="0"/>
        </w:rPr>
        <w:t>Les fournisseurs de systèmes d'IA à haut risque supportent la plus lourde charge de conformité. Avant de mettre un système sur le marché ou en service, les fournisseurs doivent :</w:t>
      </w:r>
    </w:p>
    <w:p>
      <w:pPr>
        <w:spacing w:after="80"/>
        <w:ind w:left="200"/>
      </w:pPr>
      <w:r>
        <w:t xml:space="preserve">☐  </w:t>
      </w:r>
      <w:r>
        <w:rPr>
          <w:b/>
        </w:rPr>
        <w:t>Système de gestion des risques</w:t>
      </w:r>
      <w:r>
        <w:rPr>
          <w:b w:val="0"/>
        </w:rPr>
        <w:t xml:space="preserve"> (Art. 9) — Établir un processus continu et itératif sur tout le cycle de vie du système d'IA</w:t>
      </w:r>
    </w:p>
    <w:p>
      <w:pPr>
        <w:spacing w:after="80"/>
        <w:ind w:left="200"/>
      </w:pPr>
      <w:r>
        <w:t xml:space="preserve">☐  </w:t>
      </w:r>
      <w:r>
        <w:rPr>
          <w:b/>
        </w:rPr>
        <w:t>Gouvernance des données</w:t>
      </w:r>
      <w:r>
        <w:rPr>
          <w:b w:val="0"/>
        </w:rPr>
        <w:t xml:space="preserve"> (Art. 10) — Garantir que les jeux de données d'entraînement, de validation et de test répondent à des critères de qualité avec des propriétés statistiques appropriées</w:t>
      </w:r>
    </w:p>
    <w:p>
      <w:pPr>
        <w:spacing w:after="80"/>
        <w:ind w:left="200"/>
      </w:pPr>
      <w:r>
        <w:t xml:space="preserve">☐  </w:t>
      </w:r>
      <w:r>
        <w:rPr>
          <w:b/>
        </w:rPr>
        <w:t>Documentation technique</w:t>
      </w:r>
      <w:r>
        <w:rPr>
          <w:b w:val="0"/>
        </w:rPr>
        <w:t xml:space="preserve"> (Art. 11, Annexe IV) — Préparer une documentation complète couvrant les 9 sections requises avant la mise sur le marché</w:t>
      </w:r>
    </w:p>
    <w:p>
      <w:pPr>
        <w:spacing w:after="80"/>
        <w:ind w:left="200"/>
      </w:pPr>
      <w:r>
        <w:t xml:space="preserve">☐  </w:t>
      </w:r>
      <w:r>
        <w:rPr>
          <w:b/>
        </w:rPr>
        <w:t>Tenue des registres</w:t>
      </w:r>
      <w:r>
        <w:rPr>
          <w:b w:val="0"/>
        </w:rPr>
        <w:t xml:space="preserve"> (Art. 12) — Intégrer des fonctionnalités de journalisation automatique proportionnées à la finalité prévue du système</w:t>
      </w:r>
    </w:p>
    <w:p>
      <w:pPr>
        <w:spacing w:after="80"/>
        <w:ind w:left="200"/>
      </w:pPr>
      <w:r>
        <w:t xml:space="preserve">☐  </w:t>
      </w:r>
      <w:r>
        <w:rPr>
          <w:b/>
        </w:rPr>
        <w:t>Transparence</w:t>
      </w:r>
      <w:r>
        <w:rPr>
          <w:b w:val="0"/>
        </w:rPr>
        <w:t xml:space="preserve"> (Art. 13) — Concevoir le système afin que les déployeurs puissent interpréter la sortie et l'utiliser de manière appropriée</w:t>
      </w:r>
    </w:p>
    <w:p>
      <w:pPr>
        <w:spacing w:after="80"/>
        <w:ind w:left="200"/>
      </w:pPr>
      <w:r>
        <w:t xml:space="preserve">☐  </w:t>
      </w:r>
      <w:r>
        <w:rPr>
          <w:b/>
        </w:rPr>
        <w:t>Contrôle humain</w:t>
      </w:r>
      <w:r>
        <w:rPr>
          <w:b w:val="0"/>
        </w:rPr>
        <w:t xml:space="preserve"> (Art. 14) — Mettre en place des mesures permettant un contrôle humain effectif lors de l'utilisation du système</w:t>
      </w:r>
    </w:p>
    <w:p>
      <w:pPr>
        <w:spacing w:after="80"/>
        <w:ind w:left="200"/>
      </w:pPr>
      <w:r>
        <w:t xml:space="preserve">☐  </w:t>
      </w:r>
      <w:r>
        <w:rPr>
          <w:b/>
        </w:rPr>
        <w:t>Exactitude, robustesse et cybersécurité</w:t>
      </w:r>
      <w:r>
        <w:rPr>
          <w:b w:val="0"/>
        </w:rPr>
        <w:t xml:space="preserve"> (Art. 15) — Atteindre des niveaux appropriés tout au long du cycle de vie</w:t>
      </w:r>
    </w:p>
    <w:p>
      <w:pPr>
        <w:spacing w:after="80"/>
        <w:ind w:left="200"/>
      </w:pPr>
      <w:r>
        <w:t xml:space="preserve">☐  </w:t>
      </w:r>
      <w:r>
        <w:rPr>
          <w:b/>
        </w:rPr>
        <w:t>Système de gestion de la qualité</w:t>
      </w:r>
      <w:r>
        <w:rPr>
          <w:b w:val="0"/>
        </w:rPr>
        <w:t xml:space="preserve"> (Art. 17) — Documenter les politiques et procédures garantissant une conformité continue</w:t>
      </w:r>
    </w:p>
    <w:p>
      <w:pPr>
        <w:spacing w:after="80"/>
        <w:ind w:left="200"/>
      </w:pPr>
      <w:r>
        <w:t xml:space="preserve">☐  </w:t>
      </w:r>
      <w:r>
        <w:rPr>
          <w:b/>
        </w:rPr>
        <w:t>Évaluation de la conformité</w:t>
      </w:r>
      <w:r>
        <w:rPr>
          <w:b w:val="0"/>
        </w:rPr>
        <w:t xml:space="preserve"> (Art. 43) — Réaliser la procédure d'évaluation appropriée avant la mise sur le marché</w:t>
      </w:r>
    </w:p>
    <w:p>
      <w:pPr>
        <w:spacing w:after="80"/>
        <w:ind w:left="200"/>
      </w:pPr>
      <w:r>
        <w:t xml:space="preserve">☐  </w:t>
      </w:r>
      <w:r>
        <w:rPr>
          <w:b/>
        </w:rPr>
        <w:t>Déclaration UE de conformité</w:t>
      </w:r>
      <w:r>
        <w:rPr>
          <w:b w:val="0"/>
        </w:rPr>
        <w:t xml:space="preserve"> (Art. 47) — Établir et tenir à jour pour chaque système d'IA à haut risque</w:t>
      </w:r>
    </w:p>
    <w:p>
      <w:pPr>
        <w:spacing w:after="80"/>
        <w:ind w:left="200"/>
      </w:pPr>
      <w:r>
        <w:t xml:space="preserve">☐  </w:t>
      </w:r>
      <w:r>
        <w:rPr>
          <w:b/>
        </w:rPr>
        <w:t>Marquage CE</w:t>
      </w:r>
      <w:r>
        <w:rPr>
          <w:b w:val="0"/>
        </w:rPr>
        <w:t xml:space="preserve"> (Art. 48) — Apposer de manière visible, lisible et indélébile sur le système</w:t>
      </w:r>
    </w:p>
    <w:p>
      <w:pPr>
        <w:spacing w:after="80"/>
        <w:ind w:left="200"/>
      </w:pPr>
      <w:r>
        <w:t xml:space="preserve">☐  </w:t>
      </w:r>
      <w:r>
        <w:rPr>
          <w:b/>
        </w:rPr>
        <w:t>Enregistrement base de données UE</w:t>
      </w:r>
      <w:r>
        <w:rPr>
          <w:b w:val="0"/>
        </w:rPr>
        <w:t xml:space="preserve"> (Art. 49) — Enregistrer le système et le fournisseur dans la base UE avant la mise sur le marché</w:t>
      </w:r>
    </w:p>
    <w:p>
      <w:pPr>
        <w:pStyle w:val="Heading2"/>
      </w:pPr>
      <w:r>
        <w:t>Obligations du déployeur (Article 26)</w:t>
      </w:r>
    </w:p>
    <w:p>
      <w:r>
        <w:rPr>
          <w:b w:val="0"/>
          <w:i w:val="0"/>
        </w:rPr>
        <w:t>Les organisations qui utilisent des systèmes d'IA à haut risque (déployeurs) ont leurs propres obligations :</w:t>
      </w:r>
    </w:p>
    <w:p>
      <w:pPr>
        <w:spacing w:after="80"/>
        <w:ind w:left="200"/>
      </w:pPr>
      <w:r>
        <w:t xml:space="preserve">☐  </w:t>
      </w:r>
      <w:r>
        <w:rPr>
          <w:b/>
        </w:rPr>
        <w:t>Utilisation conforme aux instructions</w:t>
      </w:r>
      <w:r>
        <w:rPr>
          <w:b w:val="0"/>
        </w:rPr>
        <w:t xml:space="preserve"> — Mettre en place des mesures techniques et organisationnelles appropriées pour utiliser le système selon la notice d'utilisation du fournisseur</w:t>
      </w:r>
    </w:p>
    <w:p>
      <w:pPr>
        <w:spacing w:after="80"/>
        <w:ind w:left="200"/>
      </w:pPr>
      <w:r>
        <w:t xml:space="preserve">☐  </w:t>
      </w:r>
      <w:r>
        <w:rPr>
          <w:b/>
        </w:rPr>
        <w:t>Contrôle humain</w:t>
      </w:r>
      <w:r>
        <w:rPr>
          <w:b w:val="0"/>
        </w:rPr>
        <w:t xml:space="preserve"> — Confier le contrôle humain à des personnes qualifiées dotées de la compétence, de la formation, de l'autorité et du soutien nécessaires</w:t>
      </w:r>
    </w:p>
    <w:p>
      <w:pPr>
        <w:spacing w:after="80"/>
        <w:ind w:left="200"/>
      </w:pPr>
      <w:r>
        <w:t xml:space="preserve">☐  </w:t>
      </w:r>
      <w:r>
        <w:rPr>
          <w:b/>
        </w:rPr>
        <w:t>Pertinence des données d'entrée</w:t>
      </w:r>
      <w:r>
        <w:rPr>
          <w:b w:val="0"/>
        </w:rPr>
        <w:t xml:space="preserve"> — Lorsque le déployeur contrôle les données d'entrée, s'assurer qu'elles sont pertinentes et suffisamment représentatives pour la finalité prévue</w:t>
      </w:r>
    </w:p>
    <w:p>
      <w:pPr>
        <w:spacing w:after="80"/>
        <w:ind w:left="200"/>
      </w:pPr>
      <w:r>
        <w:t xml:space="preserve">☐  </w:t>
      </w:r>
      <w:r>
        <w:rPr>
          <w:b/>
        </w:rPr>
        <w:t>Surveillance</w:t>
      </w:r>
      <w:r>
        <w:rPr>
          <w:b w:val="0"/>
        </w:rPr>
        <w:t xml:space="preserve"> (art. 26, paragraphe 5) — Surveiller le fonctionnement du système sur la base de la notice d'utilisation. S'il présente un risque, suspendre son utilisation et informer le fournisseur ou le distributeur et l'autorité de surveillance du marché. Signaler un incident grave d'abord au fournisseur, puis à l'importateur ou au distributeur et à l'autorité</w:t>
      </w:r>
    </w:p>
    <w:p>
      <w:pPr>
        <w:spacing w:after="80"/>
        <w:ind w:left="200"/>
      </w:pPr>
      <w:r>
        <w:t xml:space="preserve">☐  </w:t>
      </w:r>
      <w:r>
        <w:rPr>
          <w:b/>
        </w:rPr>
        <w:t>Conservation des logs</w:t>
      </w:r>
      <w:r>
        <w:rPr>
          <w:b w:val="0"/>
        </w:rPr>
        <w:t xml:space="preserve"> — Conserver les logs générés automatiquement pendant au moins 6 mois</w:t>
      </w:r>
    </w:p>
    <w:p>
      <w:pPr>
        <w:spacing w:after="80"/>
        <w:ind w:left="200"/>
      </w:pPr>
      <w:r>
        <w:t xml:space="preserve">☐  </w:t>
      </w:r>
      <w:r>
        <w:rPr>
          <w:b/>
        </w:rPr>
        <w:t>Information des travailleurs</w:t>
      </w:r>
      <w:r>
        <w:rPr>
          <w:b w:val="0"/>
        </w:rPr>
        <w:t xml:space="preserve"> — Informer les représentants des travailleurs et les travailleurs concernés. Le faire avant d'utiliser un système d'IA à haut risque sur le lieu de travail</w:t>
      </w:r>
    </w:p>
    <w:p>
      <w:pPr>
        <w:spacing w:after="80"/>
        <w:ind w:left="200"/>
      </w:pPr>
      <w:r>
        <w:t xml:space="preserve">☐  </w:t>
      </w:r>
      <w:r>
        <w:rPr>
          <w:b/>
        </w:rPr>
        <w:t>Analyse d'impact sur les droits fondamentaux</w:t>
      </w:r>
      <w:r>
        <w:rPr>
          <w:b w:val="0"/>
        </w:rPr>
        <w:t xml:space="preserve"> (art. 27) — Avant la première utilisation, analyser l'impact du système sur les droits fondamentaux. Cela concerne les organismes de droit public et les entités privées fournissant des services publics. Cela concerne aussi les déployeurs de systèmes de notation de crédit ou de tarification de l'assurance-vie et de l'assurance maladie</w:t>
      </w:r>
    </w:p>
    <w:p>
      <w:pPr>
        <w:spacing w:after="80"/>
        <w:ind w:left="200"/>
      </w:pPr>
      <w:r>
        <w:t xml:space="preserve">☐  </w:t>
      </w:r>
      <w:r>
        <w:rPr>
          <w:b/>
        </w:rPr>
        <w:t>Maîtrise de l'IA (article 4)</w:t>
      </w:r>
      <w:r>
        <w:rPr>
          <w:b w:val="0"/>
        </w:rPr>
        <w:t xml:space="preserve"> — Prendre des mesures pour favoriser la maîtrise de l'IA de votre personnel. Cela vaut aussi pour les autres personnes qui utilisent des systèmes d'IA pour votre compte. Aucun niveau spécifique n'est exigé. L'obligation couvre tout système d'IA, pas seulement ceux à haut risque</w:t>
      </w:r>
    </w:p>
    <w:p>
      <w:pPr>
        <w:pStyle w:val="Heading2"/>
      </w:pPr>
      <w:r>
        <w:t>Obligations de l'importateur et du distributeur</w:t>
      </w:r>
    </w:p>
    <w:p>
      <w:r>
        <w:rPr>
          <w:b w:val="0"/>
          <w:i w:val="0"/>
        </w:rPr>
        <w:t xml:space="preserve">Les </w:t>
      </w:r>
      <w:r>
        <w:rPr>
          <w:b/>
          <w:i w:val="0"/>
        </w:rPr>
        <w:t>importateurs</w:t>
      </w:r>
      <w:r>
        <w:rPr>
          <w:b w:val="0"/>
          <w:i w:val="0"/>
        </w:rPr>
        <w:t xml:space="preserve"> (article 23) doivent vérifier que le fournisseur a mené l'évaluation de la conformité et établi la documentation technique. Ils vérifient aussi le marquage CE et la désignation d'un mandataire. Ils ne doivent pas mettre sur le marché un système non conforme.</w:t>
      </w:r>
    </w:p>
    <w:p>
      <w:r>
        <w:rPr>
          <w:b w:val="0"/>
          <w:i w:val="0"/>
        </w:rPr>
        <w:t xml:space="preserve">Les </w:t>
      </w:r>
      <w:r>
        <w:rPr>
          <w:b/>
          <w:i w:val="0"/>
        </w:rPr>
        <w:t>distributeurs</w:t>
      </w:r>
      <w:r>
        <w:rPr>
          <w:b w:val="0"/>
          <w:i w:val="0"/>
        </w:rPr>
        <w:t xml:space="preserve"> (Article 24) doivent vérifier la présence du marquage CE, de la déclaration UE de conformité et des instructions d'utilisation. Ils doivent s'assurer que les conditions de stockage et de transport ne compromettent pas la conformité.</w:t>
      </w:r>
    </w:p>
    <w:p>
      <w:pPr>
        <w:pStyle w:val="Heading2"/>
      </w:pPr>
      <w:r>
        <w:t>Structure des sanctions (Article 99)</w:t>
      </w:r>
    </w:p>
    <w:tbl>
      <w:tblPr>
        <w:tblStyle w:val="LightGrid-Accent1"/>
        <w:tblW w:type="auto" w:w="0"/>
        <w:tblLook w:firstColumn="1" w:firstRow="1" w:lastColumn="0" w:lastRow="0" w:noHBand="0" w:noVBand="1" w:val="04A0"/>
      </w:tblPr>
      <w:tblGrid>
        <w:gridCol w:w="4320"/>
        <w:gridCol w:w="4320"/>
      </w:tblGrid>
      <w:tr>
        <w:tc>
          <w:tcPr>
            <w:tcW w:type="dxa" w:w="4320"/>
          </w:tcPr>
          <w:p>
            <w:r>
              <w:rPr>
                <w:b/>
              </w:rPr>
              <w:t>Violation</w:t>
            </w:r>
          </w:p>
        </w:tc>
        <w:tc>
          <w:tcPr>
            <w:tcW w:type="dxa" w:w="4320"/>
          </w:tcPr>
          <w:p>
            <w:r>
              <w:rPr>
                <w:b/>
              </w:rPr>
              <w:t>Amende maximale</w:t>
            </w:r>
          </w:p>
        </w:tc>
      </w:tr>
      <w:tr>
        <w:tc>
          <w:tcPr>
            <w:tcW w:type="dxa" w:w="4320"/>
          </w:tcPr>
          <w:p>
            <w:r/>
            <w:r>
              <w:rPr>
                <w:b w:val="0"/>
              </w:rPr>
              <w:t>Pratiques d'IA interdites (Art. 5)</w:t>
            </w:r>
          </w:p>
        </w:tc>
        <w:tc>
          <w:tcPr>
            <w:tcW w:type="dxa" w:w="4320"/>
          </w:tcPr>
          <w:p>
            <w:r/>
            <w:r>
              <w:rPr>
                <w:b/>
              </w:rPr>
              <w:t>35M EUR</w:t>
            </w:r>
            <w:r>
              <w:rPr>
                <w:b w:val="0"/>
              </w:rPr>
              <w:t xml:space="preserve"> ou </w:t>
            </w:r>
            <w:r>
              <w:rPr>
                <w:b/>
              </w:rPr>
              <w:t>7 %</w:t>
            </w:r>
            <w:r>
              <w:rPr>
                <w:b w:val="0"/>
              </w:rPr>
              <w:t xml:space="preserve"> du chiffre d'affaires mondial</w:t>
            </w:r>
          </w:p>
        </w:tc>
      </w:tr>
      <w:tr>
        <w:tc>
          <w:tcPr>
            <w:tcW w:type="dxa" w:w="4320"/>
          </w:tcPr>
          <w:p>
            <w:r/>
            <w:r>
              <w:rPr>
                <w:b w:val="0"/>
              </w:rPr>
              <w:t>Obligations du fournisseur, déployeur, importateur, distributeur</w:t>
            </w:r>
          </w:p>
        </w:tc>
        <w:tc>
          <w:tcPr>
            <w:tcW w:type="dxa" w:w="4320"/>
          </w:tcPr>
          <w:p>
            <w:r/>
            <w:r>
              <w:rPr>
                <w:b/>
              </w:rPr>
              <w:t>15M EUR</w:t>
            </w:r>
            <w:r>
              <w:rPr>
                <w:b w:val="0"/>
              </w:rPr>
              <w:t xml:space="preserve"> ou </w:t>
            </w:r>
            <w:r>
              <w:rPr>
                <w:b/>
              </w:rPr>
              <w:t>3 %</w:t>
            </w:r>
            <w:r>
              <w:rPr>
                <w:b w:val="0"/>
              </w:rPr>
              <w:t xml:space="preserve"> du chiffre d'affaires mondial</w:t>
            </w:r>
          </w:p>
        </w:tc>
      </w:tr>
      <w:tr>
        <w:tc>
          <w:tcPr>
            <w:tcW w:type="dxa" w:w="4320"/>
          </w:tcPr>
          <w:p>
            <w:r/>
            <w:r>
              <w:rPr>
                <w:b w:val="0"/>
              </w:rPr>
              <w:t>Informations inexactes ou trompeuses aux autorités</w:t>
            </w:r>
          </w:p>
        </w:tc>
        <w:tc>
          <w:tcPr>
            <w:tcW w:type="dxa" w:w="4320"/>
          </w:tcPr>
          <w:p>
            <w:r/>
            <w:r>
              <w:rPr>
                <w:b/>
              </w:rPr>
              <w:t>7,5M EUR</w:t>
            </w:r>
            <w:r>
              <w:rPr>
                <w:b w:val="0"/>
              </w:rPr>
              <w:t xml:space="preserve"> ou </w:t>
            </w:r>
            <w:r>
              <w:rPr>
                <w:b/>
              </w:rPr>
              <w:t>1 %</w:t>
            </w:r>
            <w:r>
              <w:rPr>
                <w:b w:val="0"/>
              </w:rPr>
              <w:t xml:space="preserve"> du chiffre d'affaires mondial</w:t>
            </w:r>
          </w:p>
        </w:tc>
      </w:tr>
    </w:tbl>
    <w:p/>
    <w:p>
      <w:r>
        <w:rPr>
          <w:b w:val="0"/>
          <w:i/>
          <w:sz w:val="19"/>
        </w:rPr>
        <w:t>Pour les PME et les start-up, les amendes sont plafonnées au plus bas entre le pourcentage et le montant fixe. Parmi les facteurs atténuants : auto-signalement, degré de coopération et mesures techniques déjà mises en place.</w:t>
      </w:r>
    </w:p>
    <w:p>
      <w:r>
        <w:rPr>
          <w:b/>
          <w:i w:val="0"/>
        </w:rPr>
        <w:t>L'essentiel :</w:t>
      </w:r>
      <w:r>
        <w:rPr>
          <w:b w:val="0"/>
          <w:i w:val="0"/>
        </w:rPr>
        <w:t xml:space="preserve"> l'EU AI Act n'est pas optionnel. Si vous développez, déployez, importez ou distribuez des systèmes d'IA dans l'UE, vous devez cartographier vos obligations dès maintenant. Les règles sur les pratiques interdites et sur la maîtrise de l'IA s'appliquent déjà. Les obligations de transparence de l'article 50 s'appliquent aussi depuis le 2 août 2026. Les obligations à haut risque s'appliquent à partir du 2 décembre 2027 pour les systèmes de l'annexe III. Pour ceux de l'annexe I, c'est le 2 août 2028. Le Digital Omnibus (règlement (UE) 2026/1744) a reporté ces deux dates.</w:t>
      </w:r>
    </w:p>
    <w:p>
      <w:r>
        <w:rPr>
          <w:b w:val="0"/>
          <w:i/>
          <w:sz w:val="19"/>
        </w:rPr>
        <w:t>Cette check-list est une aide à l'orientation, pas un avis juridique. Elle a été vérifiée sur le texte consolidé du règlement (UE) 2024/1689, modifié par le règlement (UE) 2026/1744.</w:t>
      </w:r>
    </w:p>
    <w:p>
      <w:r>
        <w:rPr>
          <w:b w:val="0"/>
          <w:i/>
          <w:sz w:val="19"/>
        </w:rPr>
        <w:t>Autoévaluation règlement IA (gratuite, ~3 minutes): https://landingred.com/fr/assessment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conformité au règlement IA UE pour 2026</dc:title>
  <dc:subject>Cette check-list est une aide à l'orientation, pas un avis juridique. Elle a été vérifiée sur le texte consolidé du règlement (UE) 2024/1689, modifié par le règlement (UE) 2026/1744.</dc:subject>
  <dc:creator>LandingRed</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