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9B313A"/>
        </w:rPr>
        <w:t>Checklist di conformità al Regolamento IA UE per il 2026</w:t>
      </w:r>
    </w:p>
    <w:p>
      <w:r>
        <w:rPr>
          <w:b w:val="0"/>
          <w:i w:val="0"/>
        </w:rPr>
        <w:t>Il Regolamento IA UE (Regolamento 2024/1689) è il primo quadro giuridico completo al mondo per l'intelligenza artificiale. È entrato in vigore il 1° agosto 2024 con un calendario di attuazione graduale. Questa guida illustra ogni obbligo per ruolo, livello di rischio e scadenza.</w:t>
      </w:r>
    </w:p>
    <w:p>
      <w:r>
        <w:rPr>
          <w:b w:val="0"/>
          <w:i/>
          <w:sz w:val="19"/>
        </w:rPr>
        <w:t>Spunta le caselle man mano. La stessa checklist è interattiva su https://landingred.com/it/resources/eu-ai-act-checklist</w:t>
      </w:r>
    </w:p>
    <w:p>
      <w:pPr>
        <w:pStyle w:val="Heading2"/>
      </w:pPr>
      <w:r>
        <w:t>Scadenze chiave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Cosa si applica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 feb 2025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Pratiche di IA vietate (Articolo 5) e alfabetizzazione in materia di IA (Articolo 4)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 ago 2025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Obblighi sui modelli di IA per finalità generali, struttura di governance, regole di riservatezza, quadro sanzionatorio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 ago 2026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Data generale di applicazione: il regolamento si applica, tranne le parti indicate nelle altre righe. Ciò comprende gli obblighi di trasparenza dell'articolo 50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 dic 2026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Si applicano i nuovi divieti dell'articolo 5, lettere b bis) e b ter). I fornitori di sistemi di IA generativa immessi sul mercato prima del 2 agosto 2026 devono rispettare l'obbligo di marcatura dell'articolo 50, paragrafo 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 dic 2027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Sistemi di IA ad alto rischio dell'allegato III: si applicano gli articoli da 6 a 27. Coprono classificazione, requisiti, obblighi di fornitori e deployer e valutazione d'impatto sui diritti fondamentali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 ago 2028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Sistemi di IA ad alto rischio ai sensi dell'articolo 6, paragrafo 1, e dell'allegato I, come i componenti di sicurezza di prodotti regolamentati. Si applicano gli articoli da 6 a 27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31 dic 2030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I sistemi di IA legacy nei sistemi IT su larga scala dell'UE (Allegato X) devono essere portati in conformità</w:t>
            </w:r>
          </w:p>
        </w:tc>
      </w:tr>
    </w:tbl>
    <w:p/>
    <w:p>
      <w:pPr>
        <w:pStyle w:val="Heading2"/>
      </w:pPr>
      <w:r>
        <w:t>Pratiche di IA vietate (Articolo 5)</w:t>
      </w:r>
    </w:p>
    <w:p>
      <w:r>
        <w:rPr>
          <w:b w:val="0"/>
          <w:i w:val="0"/>
        </w:rPr>
        <w:t xml:space="preserve">Le seguenti pratiche di IA sono vietate, con sanzioni fino a </w:t>
      </w:r>
      <w:r>
        <w:rPr>
          <w:b/>
          <w:i w:val="0"/>
        </w:rPr>
        <w:t>35 milioni di EUR</w:t>
      </w:r>
      <w:r>
        <w:rPr>
          <w:b w:val="0"/>
          <w:i w:val="0"/>
        </w:rPr>
        <w:t xml:space="preserve"> o </w:t>
      </w:r>
      <w:r>
        <w:rPr>
          <w:b/>
          <w:i w:val="0"/>
        </w:rPr>
        <w:t>7% del fatturato annuo globale</w:t>
      </w:r>
      <w:r>
        <w:rPr>
          <w:b w:val="0"/>
          <w:i w:val="0"/>
        </w:rPr>
        <w:t>: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Manipolazione subliminale o tecniche ingannevoli che causano danni significativi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Sfruttamento di vulnerabilità dovute a età, disabilità o situazione sociale/economica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Punteggio sociale delle persone, da parte di soggetti pubblici o privati, che porta a un trattamento pregiudizievole fuori contesto o sproporzionato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Identificazione biometrica remota in tempo reale in spazi pubblici per attività di contrasto (con eccezioni ristrette)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Scraping non mirato di immagini facciali da Internet o telecamere a circuito chiuso per database di riconoscimento facciale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Riconoscimento delle emozioni nei luoghi di lavoro e negli istituti di istruzione (con eccezioni ristrette)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Categorizzazione biometrica per inferire razza, opinioni politiche, appartenenza sindacale, convinzioni religiose o filosofiche, vita sessuale o orientamento sessuale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Polizia predittiva individuale basata esclusivamente sulla profilazione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Generare o manipolare materiale intimo o sessualmente esplicito non consensuale di una persona identificabile. Aggiunto dal Reg. (UE) 2026/1744, vietato dal 2 dicembre 2026</w:t>
      </w:r>
    </w:p>
    <w:p>
      <w:pPr>
        <w:spacing w:after="80"/>
        <w:ind w:left="200"/>
      </w:pPr>
      <w:r>
        <w:t xml:space="preserve">☐  </w:t>
      </w:r>
      <w:r>
        <w:rPr>
          <w:b w:val="0"/>
        </w:rPr>
        <w:t>Generare o manipolare materiale pedopornografico — aggiunto dal Reg. (UE) 2026/1744, vietato dal 2 dicembre 2026</w:t>
      </w:r>
    </w:p>
    <w:p>
      <w:pPr>
        <w:pStyle w:val="Heading2"/>
      </w:pPr>
      <w:r>
        <w:t>Obblighi del fornitore (Articolo 16)</w:t>
      </w:r>
    </w:p>
    <w:p>
      <w:r>
        <w:rPr>
          <w:b w:val="0"/>
          <w:i w:val="0"/>
        </w:rPr>
        <w:t>I fornitori di sistemi di IA ad alto rischio sopportano l'onere di conformità più gravoso. Prima di immettere un sistema sul mercato o metterlo in servizio, i fornitori devono: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Sistema di gestione dei rischi</w:t>
      </w:r>
      <w:r>
        <w:rPr>
          <w:b w:val="0"/>
        </w:rPr>
        <w:t xml:space="preserve"> (Art. 9) — Stabilire un processo continuo e iterativo per l'intero ciclo di vita del sistema di IA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Data governance</w:t>
      </w:r>
      <w:r>
        <w:rPr>
          <w:b w:val="0"/>
        </w:rPr>
        <w:t xml:space="preserve"> (Art. 10) — Garantire che i dataset di addestramento, convalida e prova soddisfino criteri di qualità con proprietà statistiche adeguate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Documentazione tecnica</w:t>
      </w:r>
      <w:r>
        <w:rPr>
          <w:b w:val="0"/>
        </w:rPr>
        <w:t xml:space="preserve"> (Art. 11, Allegato IV) — Predisporre documentazione completa che copra tutte le 9 sezioni richieste prima dell'immissione sul mercato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Tenuta dei registri</w:t>
      </w:r>
      <w:r>
        <w:rPr>
          <w:b w:val="0"/>
        </w:rPr>
        <w:t xml:space="preserve"> (Art. 12) — Integrare capacità di logging automatico proporzionate alla finalità prevista del sistema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Trasparenza</w:t>
      </w:r>
      <w:r>
        <w:rPr>
          <w:b w:val="0"/>
        </w:rPr>
        <w:t xml:space="preserve"> (Art. 13) — Progettare il sistema affinché i deployer possano interpretare l'output e usarlo in modo appropriato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Sorveglianza umana</w:t>
      </w:r>
      <w:r>
        <w:rPr>
          <w:b w:val="0"/>
        </w:rPr>
        <w:t xml:space="preserve"> (Art. 14) — Implementare misure che consentano una sorveglianza umana efficace durante l'uso del sistema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Accuratezza, robustezza e cybersicurezza</w:t>
      </w:r>
      <w:r>
        <w:rPr>
          <w:b w:val="0"/>
        </w:rPr>
        <w:t xml:space="preserve"> (Art. 15) — Raggiungere livelli adeguati per tutto il ciclo di vita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Sistema di gestione della qualità</w:t>
      </w:r>
      <w:r>
        <w:rPr>
          <w:b w:val="0"/>
        </w:rPr>
        <w:t xml:space="preserve"> (Art. 17) — Documentare politiche e procedure che garantiscano la conformità continua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Valutazione della conformità</w:t>
      </w:r>
      <w:r>
        <w:rPr>
          <w:b w:val="0"/>
        </w:rPr>
        <w:t xml:space="preserve"> (Art. 43) — Completare la procedura di valutazione adeguata prima dell'immissione sul mercato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Dichiarazione di conformità UE</w:t>
      </w:r>
      <w:r>
        <w:rPr>
          <w:b w:val="0"/>
        </w:rPr>
        <w:t xml:space="preserve"> (Art. 47) — Redigere e tenere aggiornata per ogni sistema di IA ad alto rischio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Marcatura CE</w:t>
      </w:r>
      <w:r>
        <w:rPr>
          <w:b w:val="0"/>
        </w:rPr>
        <w:t xml:space="preserve"> (Art. 48) — Apporla in modo visibile, leggibile e indelebile sul sistema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Registrazione database UE</w:t>
      </w:r>
      <w:r>
        <w:rPr>
          <w:b w:val="0"/>
        </w:rPr>
        <w:t xml:space="preserve"> (Art. 49) — Registrare il sistema e il fornitore nel database UE prima dell'immissione sul mercato</w:t>
      </w:r>
    </w:p>
    <w:p>
      <w:pPr>
        <w:pStyle w:val="Heading2"/>
      </w:pPr>
      <w:r>
        <w:t>Obblighi del deployer (Articolo 26)</w:t>
      </w:r>
    </w:p>
    <w:p>
      <w:r>
        <w:rPr>
          <w:b w:val="0"/>
          <w:i w:val="0"/>
        </w:rPr>
        <w:t>Le organizzazioni che usano sistemi di IA ad alto rischio (deployer) hanno il proprio set di obblighi: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Uso secondo le istruzioni</w:t>
      </w:r>
      <w:r>
        <w:rPr>
          <w:b w:val="0"/>
        </w:rPr>
        <w:t xml:space="preserve"> — Implementare misure tecniche e organizzative adeguate per usare il sistema secondo le istruzioni per l'uso del fornitore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Sorveglianza umana</w:t>
      </w:r>
      <w:r>
        <w:rPr>
          <w:b w:val="0"/>
        </w:rPr>
        <w:t xml:space="preserve"> — Assegnare persone qualificate con la competenza, la formazione, l'autorità e il supporto necessari per supervisionare il funzionamento del sistema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Pertinenza dei dati di input</w:t>
      </w:r>
      <w:r>
        <w:rPr>
          <w:b w:val="0"/>
        </w:rPr>
        <w:t xml:space="preserve"> — Quando il deployer controlla i dati di input, garantirne la pertinenza e la sufficiente rappresentatività rispetto alla finalità prevista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Monitoraggio</w:t>
      </w:r>
      <w:r>
        <w:rPr>
          <w:b w:val="0"/>
        </w:rPr>
        <w:t xml:space="preserve"> (Art. 26, par. 5) — Monitorare il funzionamento del sistema sulla base delle istruzioni per l'uso. Se il sistema presenta un rischio, sospenderne l'uso e informare il fornitore o il distributore e l'autorità di vigilanza del mercato. In caso di incidente grave, informare prima il fornitore, poi l'importatore o il distributore e l'autorità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Conservazione dei log</w:t>
      </w:r>
      <w:r>
        <w:rPr>
          <w:b w:val="0"/>
        </w:rPr>
        <w:t xml:space="preserve"> — Conservare i log generati automaticamente per almeno 6 mesi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Notifica ai lavoratori</w:t>
      </w:r>
      <w:r>
        <w:rPr>
          <w:b w:val="0"/>
        </w:rPr>
        <w:t xml:space="preserve"> — Informare i rappresentanti dei lavoratori e i lavoratori interessati. Va fatto prima di usare un sistema di IA ad alto rischio sul luogo di lavoro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Valutazione d'impatto sui diritti fondamentali</w:t>
      </w:r>
      <w:r>
        <w:rPr>
          <w:b w:val="0"/>
        </w:rPr>
        <w:t xml:space="preserve"> (Art. 27) — Prima del primo uso, valutare l'impatto del sistema sui diritti fondamentali. Vale per gli organismi di diritto pubblico e gli enti privati che forniscono servizi pubblici. Vale anche per i deployer di sistemi che valutano il merito di credito o fissano i prezzi delle assicurazioni vita e sanitarie</w:t>
      </w:r>
    </w:p>
    <w:p>
      <w:pPr>
        <w:spacing w:after="80"/>
        <w:ind w:left="200"/>
      </w:pPr>
      <w:r>
        <w:t xml:space="preserve">☐  </w:t>
      </w:r>
      <w:r>
        <w:rPr>
          <w:b/>
        </w:rPr>
        <w:t>Alfabetizzazione in materia di IA (articolo 4)</w:t>
      </w:r>
      <w:r>
        <w:rPr>
          <w:b w:val="0"/>
        </w:rPr>
        <w:t xml:space="preserve"> — Adottare misure che la sostengano nel personale. Vale anche per chi usa sistemi di IA per conto dell'organizzazione. Non è richiesto un livello specifico. L'obbligo riguarda ogni sistema di IA, non solo quelli ad alto rischio</w:t>
      </w:r>
    </w:p>
    <w:p>
      <w:pPr>
        <w:pStyle w:val="Heading2"/>
      </w:pPr>
      <w:r>
        <w:t>Obblighi di importatore e distributore</w:t>
      </w:r>
    </w:p>
    <w:p>
      <w:r>
        <w:rPr>
          <w:b w:val="0"/>
          <w:i w:val="0"/>
        </w:rPr>
        <w:t xml:space="preserve">Gli </w:t>
      </w:r>
      <w:r>
        <w:rPr>
          <w:b/>
          <w:i w:val="0"/>
        </w:rPr>
        <w:t>importatori</w:t>
      </w:r>
      <w:r>
        <w:rPr>
          <w:b w:val="0"/>
          <w:i w:val="0"/>
        </w:rPr>
        <w:t xml:space="preserve"> (Articolo 23) devono verificare che il fornitore abbia completato la valutazione della conformità e predisposto la documentazione tecnica. Devono verificare anche la marcatura CE e la nomina di un rappresentante autorizzato. Non possono immettere sul mercato un sistema non conforme.</w:t>
      </w:r>
    </w:p>
    <w:p>
      <w:r>
        <w:rPr>
          <w:b w:val="0"/>
          <w:i w:val="0"/>
        </w:rPr>
        <w:t xml:space="preserve">I </w:t>
      </w:r>
      <w:r>
        <w:rPr>
          <w:b/>
          <w:i w:val="0"/>
        </w:rPr>
        <w:t>distributori</w:t>
      </w:r>
      <w:r>
        <w:rPr>
          <w:b w:val="0"/>
          <w:i w:val="0"/>
        </w:rPr>
        <w:t xml:space="preserve"> (Articolo 24) devono verificare la presenza di marcatura CE, dichiarazione di conformità UE e istruzioni per l'uso. Devono garantire che le condizioni di stoccaggio e trasporto non compromettano la conformità.</w:t>
      </w:r>
    </w:p>
    <w:p>
      <w:pPr>
        <w:pStyle w:val="Heading2"/>
      </w:pPr>
      <w:r>
        <w:t>Struttura sanzionatoria (Articolo 99)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Violazione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Sanzione massima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Pratiche di IA vietate (Art. 5)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35M EUR</w:t>
            </w:r>
            <w:r>
              <w:rPr>
                <w:b w:val="0"/>
              </w:rPr>
              <w:t xml:space="preserve"> o </w:t>
            </w:r>
            <w:r>
              <w:rPr>
                <w:b/>
              </w:rPr>
              <w:t>7%</w:t>
            </w:r>
            <w:r>
              <w:rPr>
                <w:b w:val="0"/>
              </w:rPr>
              <w:t xml:space="preserve"> del fatturato globale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Obblighi di fornitore, deployer, importatore, distributore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15M EUR</w:t>
            </w:r>
            <w:r>
              <w:rPr>
                <w:b w:val="0"/>
              </w:rPr>
              <w:t xml:space="preserve"> o </w:t>
            </w:r>
            <w:r>
              <w:rPr>
                <w:b/>
              </w:rPr>
              <w:t>3%</w:t>
            </w:r>
            <w:r>
              <w:rPr>
                <w:b w:val="0"/>
              </w:rPr>
              <w:t xml:space="preserve"> del fatturato globale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Informazioni inesatte o fuorvianti alle autorità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7,5M EUR</w:t>
            </w:r>
            <w:r>
              <w:rPr>
                <w:b w:val="0"/>
              </w:rPr>
              <w:t xml:space="preserve"> o </w:t>
            </w:r>
            <w:r>
              <w:rPr>
                <w:b/>
              </w:rPr>
              <w:t>1%</w:t>
            </w:r>
            <w:r>
              <w:rPr>
                <w:b w:val="0"/>
              </w:rPr>
              <w:t xml:space="preserve"> del fatturato globale</w:t>
            </w:r>
          </w:p>
        </w:tc>
      </w:tr>
    </w:tbl>
    <w:p/>
    <w:p>
      <w:r>
        <w:rPr>
          <w:b w:val="0"/>
          <w:i/>
          <w:sz w:val="19"/>
        </w:rPr>
        <w:t>Per le PMI e le start-up, le sanzioni sono limitate al minore tra la percentuale e l'importo fisso. Tra i fattori attenuanti rientrano l'autodenuncia, il grado di cooperazione e le misure tecniche già attuate.</w:t>
      </w:r>
    </w:p>
    <w:p>
      <w:r>
        <w:rPr>
          <w:b/>
          <w:i w:val="0"/>
        </w:rPr>
        <w:t>In sintesi:</w:t>
      </w:r>
      <w:r>
        <w:rPr>
          <w:b w:val="0"/>
          <w:i w:val="0"/>
        </w:rPr>
        <w:t xml:space="preserve"> l'EU AI Act non è facoltativo. Se sviluppi, utilizzi, importi o distribuisci sistemi di IA nell'UE, devi mappare subito i tuoi obblighi. Le regole sulle pratiche vietate e sull'alfabetizzazione in materia di IA sono già in vigore. Dal 2 agosto 2026 lo sono anche gli obblighi di trasparenza dell'articolo 50. Gli obblighi per l'alto rischio si applicano dal 2 dicembre 2027 per i sistemi dell'allegato III e dal 2 agosto 2028 per quelli dell'allegato I. Il Digital Omnibus (regolamento (UE) 2026/1744) ha posticipato entrambe le date.</w:t>
      </w:r>
    </w:p>
    <w:p>
      <w:r>
        <w:rPr>
          <w:b w:val="0"/>
          <w:i/>
          <w:sz w:val="19"/>
        </w:rPr>
        <w:t>Questa checklist è un orientamento, non una consulenza legale. È stata verificata sul testo consolidato del regolamento (UE) 2024/1689, modificato dal regolamento (UE) 2026/1744.</w:t>
      </w:r>
    </w:p>
    <w:p>
      <w:r>
        <w:rPr>
          <w:b w:val="0"/>
          <w:i/>
          <w:sz w:val="19"/>
        </w:rPr>
        <w:t>Autovalutazione AI Act (gratuita, ~3 minuti): https://landingred.com/it/assessment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di conformità al Regolamento IA UE per il 2026</dc:title>
  <dc:subject>Questa checklist è un orientamento, non una consulenza legale. È stata verificata sul testo consolidato del regolamento (UE) 2024/1689, modificato dal regolamento (UE) 2026/1744.</dc:subject>
  <dc:creator>LandingRed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