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9B313A"/>
        </w:rPr>
        <w:t>EU AI Act Compliance Checklist for 2026</w:t>
      </w:r>
    </w:p>
    <w:p>
      <w:r>
        <w:rPr>
          <w:b w:val="0"/>
          <w:i w:val="0"/>
        </w:rPr>
        <w:t>The EU AI Act (Regulation 2024/1689) is the world's first comprehensive legal framework for artificial intelligence. It entered into force on 1 August 2024 with a staged implementation timeline. This guide breaks down every obligation by role, risk level, and deadline.</w:t>
      </w:r>
    </w:p>
    <w:p>
      <w:r>
        <w:rPr>
          <w:b w:val="0"/>
          <w:i/>
          <w:sz w:val="19"/>
        </w:rPr>
        <w:t>Tick the boxes as you go. The same checklist is interactive at https://landingred.com/resources/eu-ai-act-checklist</w:t>
      </w:r>
    </w:p>
    <w:p>
      <w:pPr>
        <w:pStyle w:val="Heading2"/>
      </w:pPr>
      <w:r>
        <w:t>Key Deadlines</w:t>
      </w:r>
    </w:p>
    <w:tbl>
      <w:tblPr>
        <w:tblStyle w:val="LightGrid-Accent1"/>
        <w:tblW w:type="auto" w:w="0"/>
        <w:tblLook w:firstColumn="1" w:firstRow="1" w:lastColumn="0" w:lastRow="0" w:noHBand="0" w:noVBand="1" w:val="04A0"/>
      </w:tblPr>
      <w:tblGrid>
        <w:gridCol w:w="4320"/>
        <w:gridCol w:w="4320"/>
      </w:tblGrid>
      <w:tr>
        <w:tc>
          <w:tcPr>
            <w:tcW w:type="dxa" w:w="4320"/>
          </w:tcPr>
          <w:p>
            <w:r>
              <w:rPr>
                <w:b/>
              </w:rPr>
              <w:t>Date</w:t>
            </w:r>
          </w:p>
        </w:tc>
        <w:tc>
          <w:tcPr>
            <w:tcW w:type="dxa" w:w="4320"/>
          </w:tcPr>
          <w:p>
            <w:r>
              <w:rPr>
                <w:b/>
              </w:rPr>
              <w:t>What Applies</w:t>
            </w:r>
          </w:p>
        </w:tc>
      </w:tr>
      <w:tr>
        <w:tc>
          <w:tcPr>
            <w:tcW w:type="dxa" w:w="4320"/>
          </w:tcPr>
          <w:p>
            <w:r/>
            <w:r>
              <w:rPr>
                <w:b w:val="0"/>
              </w:rPr>
              <w:t>2 Feb 2025</w:t>
            </w:r>
          </w:p>
        </w:tc>
        <w:tc>
          <w:tcPr>
            <w:tcW w:type="dxa" w:w="4320"/>
          </w:tcPr>
          <w:p>
            <w:r/>
            <w:r>
              <w:rPr>
                <w:b w:val="0"/>
              </w:rPr>
              <w:t>Prohibited AI practices (Article 5) and AI literacy (Article 4)</w:t>
            </w:r>
          </w:p>
        </w:tc>
      </w:tr>
      <w:tr>
        <w:tc>
          <w:tcPr>
            <w:tcW w:type="dxa" w:w="4320"/>
          </w:tcPr>
          <w:p>
            <w:r/>
            <w:r>
              <w:rPr>
                <w:b w:val="0"/>
              </w:rPr>
              <w:t>2 Aug 2025</w:t>
            </w:r>
          </w:p>
        </w:tc>
        <w:tc>
          <w:tcPr>
            <w:tcW w:type="dxa" w:w="4320"/>
          </w:tcPr>
          <w:p>
            <w:r/>
            <w:r>
              <w:rPr>
                <w:b w:val="0"/>
              </w:rPr>
              <w:t>GPAI model obligations, governance structure, confidentiality rules, penalties framework</w:t>
            </w:r>
          </w:p>
        </w:tc>
      </w:tr>
      <w:tr>
        <w:tc>
          <w:tcPr>
            <w:tcW w:type="dxa" w:w="4320"/>
          </w:tcPr>
          <w:p>
            <w:r/>
            <w:r>
              <w:rPr>
                <w:b w:val="0"/>
              </w:rPr>
              <w:t>2 Aug 2026</w:t>
            </w:r>
          </w:p>
        </w:tc>
        <w:tc>
          <w:tcPr>
            <w:tcW w:type="dxa" w:w="4320"/>
          </w:tcPr>
          <w:p>
            <w:r/>
            <w:r>
              <w:rPr>
                <w:b w:val="0"/>
              </w:rPr>
              <w:t>General date of application: the Regulation applies, except the parts in the other rows. This includes the transparency obligations of Article 50</w:t>
            </w:r>
          </w:p>
        </w:tc>
      </w:tr>
      <w:tr>
        <w:tc>
          <w:tcPr>
            <w:tcW w:type="dxa" w:w="4320"/>
          </w:tcPr>
          <w:p>
            <w:r/>
            <w:r>
              <w:rPr>
                <w:b w:val="0"/>
              </w:rPr>
              <w:t>2 Dec 2026</w:t>
            </w:r>
          </w:p>
        </w:tc>
        <w:tc>
          <w:tcPr>
            <w:tcW w:type="dxa" w:w="4320"/>
          </w:tcPr>
          <w:p>
            <w:r/>
            <w:r>
              <w:rPr>
                <w:b w:val="0"/>
              </w:rPr>
              <w:t>New Article 5 bans apply: points (ba) and (bb). Providers of generative AI systems placed on the market before 2 August 2026 must meet the Article 50(2) marking duty</w:t>
            </w:r>
          </w:p>
        </w:tc>
      </w:tr>
      <w:tr>
        <w:tc>
          <w:tcPr>
            <w:tcW w:type="dxa" w:w="4320"/>
          </w:tcPr>
          <w:p>
            <w:r/>
            <w:r>
              <w:rPr>
                <w:b w:val="0"/>
              </w:rPr>
              <w:t>2 Dec 2027</w:t>
            </w:r>
          </w:p>
        </w:tc>
        <w:tc>
          <w:tcPr>
            <w:tcW w:type="dxa" w:w="4320"/>
          </w:tcPr>
          <w:p>
            <w:r/>
            <w:r>
              <w:rPr>
                <w:b w:val="0"/>
              </w:rPr>
              <w:t>High-risk AI systems listed in Annex III: Articles 6 to 27 apply. They cover classification, requirements, provider and deployer obligations and the fundamental rights impact assessment</w:t>
            </w:r>
          </w:p>
        </w:tc>
      </w:tr>
      <w:tr>
        <w:tc>
          <w:tcPr>
            <w:tcW w:type="dxa" w:w="4320"/>
          </w:tcPr>
          <w:p>
            <w:r/>
            <w:r>
              <w:rPr>
                <w:b w:val="0"/>
              </w:rPr>
              <w:t>2 Aug 2028</w:t>
            </w:r>
          </w:p>
        </w:tc>
        <w:tc>
          <w:tcPr>
            <w:tcW w:type="dxa" w:w="4320"/>
          </w:tcPr>
          <w:p>
            <w:r/>
            <w:r>
              <w:rPr>
                <w:b w:val="0"/>
              </w:rPr>
              <w:t>High-risk AI systems under Article 6(1) and Annex I, such as safety components of regulated products: Articles 6 to 27 apply</w:t>
            </w:r>
          </w:p>
        </w:tc>
      </w:tr>
      <w:tr>
        <w:tc>
          <w:tcPr>
            <w:tcW w:type="dxa" w:w="4320"/>
          </w:tcPr>
          <w:p>
            <w:r/>
            <w:r>
              <w:rPr>
                <w:b w:val="0"/>
              </w:rPr>
              <w:t>31 Dec 2030</w:t>
            </w:r>
          </w:p>
        </w:tc>
        <w:tc>
          <w:tcPr>
            <w:tcW w:type="dxa" w:w="4320"/>
          </w:tcPr>
          <w:p>
            <w:r/>
            <w:r>
              <w:rPr>
                <w:b w:val="0"/>
              </w:rPr>
              <w:t>Legacy AI systems in large-scale EU IT systems (Annex X) must be brought into compliance</w:t>
            </w:r>
          </w:p>
        </w:tc>
      </w:tr>
    </w:tbl>
    <w:p/>
    <w:p>
      <w:pPr>
        <w:pStyle w:val="Heading2"/>
      </w:pPr>
      <w:r>
        <w:t>Prohibited AI Practices (Article 5)</w:t>
      </w:r>
    </w:p>
    <w:p>
      <w:r>
        <w:rPr>
          <w:b w:val="0"/>
          <w:i w:val="0"/>
        </w:rPr>
        <w:t xml:space="preserve">The following AI practices are banned outright, with fines up to </w:t>
      </w:r>
      <w:r>
        <w:rPr>
          <w:b/>
          <w:i w:val="0"/>
        </w:rPr>
        <w:t>EUR 35 million</w:t>
      </w:r>
      <w:r>
        <w:rPr>
          <w:b w:val="0"/>
          <w:i w:val="0"/>
        </w:rPr>
        <w:t xml:space="preserve"> or </w:t>
      </w:r>
      <w:r>
        <w:rPr>
          <w:b/>
          <w:i w:val="0"/>
        </w:rPr>
        <w:t>7% of global annual turnover</w:t>
      </w:r>
      <w:r>
        <w:rPr>
          <w:b w:val="0"/>
          <w:i w:val="0"/>
        </w:rPr>
        <w:t>:</w:t>
      </w:r>
    </w:p>
    <w:p>
      <w:pPr>
        <w:spacing w:after="80"/>
        <w:ind w:left="200"/>
      </w:pPr>
      <w:r>
        <w:t xml:space="preserve">☐  </w:t>
      </w:r>
      <w:r>
        <w:rPr>
          <w:b w:val="0"/>
        </w:rPr>
        <w:t>Subliminal manipulation or deceptive techniques causing significant harm</w:t>
      </w:r>
    </w:p>
    <w:p>
      <w:pPr>
        <w:spacing w:after="80"/>
        <w:ind w:left="200"/>
      </w:pPr>
      <w:r>
        <w:t xml:space="preserve">☐  </w:t>
      </w:r>
      <w:r>
        <w:rPr>
          <w:b w:val="0"/>
        </w:rPr>
        <w:t>Exploitation of vulnerabilities due to age, disability, or social/economic situation</w:t>
      </w:r>
    </w:p>
    <w:p>
      <w:pPr>
        <w:spacing w:after="80"/>
        <w:ind w:left="200"/>
      </w:pPr>
      <w:r>
        <w:t xml:space="preserve">☐  </w:t>
      </w:r>
      <w:r>
        <w:rPr>
          <w:b w:val="0"/>
        </w:rPr>
        <w:t>Social scoring of people, by public or private actors, that leads to detrimental treatment out of context or out of proportion</w:t>
      </w:r>
    </w:p>
    <w:p>
      <w:pPr>
        <w:spacing w:after="80"/>
        <w:ind w:left="200"/>
      </w:pPr>
      <w:r>
        <w:t xml:space="preserve">☐  </w:t>
      </w:r>
      <w:r>
        <w:rPr>
          <w:b w:val="0"/>
        </w:rPr>
        <w:t>Real-time remote biometric identification in public spaces for law enforcement (with narrow exceptions)</w:t>
      </w:r>
    </w:p>
    <w:p>
      <w:pPr>
        <w:spacing w:after="80"/>
        <w:ind w:left="200"/>
      </w:pPr>
      <w:r>
        <w:t xml:space="preserve">☐  </w:t>
      </w:r>
      <w:r>
        <w:rPr>
          <w:b w:val="0"/>
        </w:rPr>
        <w:t>Untargeted scraping of facial images from the internet or CCTV for facial recognition databases</w:t>
      </w:r>
    </w:p>
    <w:p>
      <w:pPr>
        <w:spacing w:after="80"/>
        <w:ind w:left="200"/>
      </w:pPr>
      <w:r>
        <w:t xml:space="preserve">☐  </w:t>
      </w:r>
      <w:r>
        <w:rPr>
          <w:b w:val="0"/>
        </w:rPr>
        <w:t>Emotion recognition in workplaces and educational institutions (with narrow exceptions)</w:t>
      </w:r>
    </w:p>
    <w:p>
      <w:pPr>
        <w:spacing w:after="80"/>
        <w:ind w:left="200"/>
      </w:pPr>
      <w:r>
        <w:t xml:space="preserve">☐  </w:t>
      </w:r>
      <w:r>
        <w:rPr>
          <w:b w:val="0"/>
        </w:rPr>
        <w:t>Biometric categorisation to infer race, political opinions, trade union membership, religious or philosophical beliefs, sex life or sexual orientation</w:t>
      </w:r>
    </w:p>
    <w:p>
      <w:pPr>
        <w:spacing w:after="80"/>
        <w:ind w:left="200"/>
      </w:pPr>
      <w:r>
        <w:t xml:space="preserve">☐  </w:t>
      </w:r>
      <w:r>
        <w:rPr>
          <w:b w:val="0"/>
        </w:rPr>
        <w:t>Individual predictive policing based solely on profiling</w:t>
      </w:r>
    </w:p>
    <w:p>
      <w:pPr>
        <w:spacing w:after="80"/>
        <w:ind w:left="200"/>
      </w:pPr>
      <w:r>
        <w:t xml:space="preserve">☐  </w:t>
      </w:r>
      <w:r>
        <w:rPr>
          <w:b w:val="0"/>
        </w:rPr>
        <w:t>Generating or manipulating non-consensual intimate or sexually explicit material of an identifiable person — added by Reg. (EU) 2026/1744, banned from 2 December 2026</w:t>
      </w:r>
    </w:p>
    <w:p>
      <w:pPr>
        <w:spacing w:after="80"/>
        <w:ind w:left="200"/>
      </w:pPr>
      <w:r>
        <w:t xml:space="preserve">☐  </w:t>
      </w:r>
      <w:r>
        <w:rPr>
          <w:b w:val="0"/>
        </w:rPr>
        <w:t>Generating or manipulating child sexual abuse material — added by Reg. (EU) 2026/1744, banned from 2 December 2026</w:t>
      </w:r>
    </w:p>
    <w:p>
      <w:pPr>
        <w:pStyle w:val="Heading2"/>
      </w:pPr>
      <w:r>
        <w:t>Provider Obligations (Article 16)</w:t>
      </w:r>
    </w:p>
    <w:p>
      <w:r>
        <w:rPr>
          <w:b w:val="0"/>
          <w:i w:val="0"/>
        </w:rPr>
        <w:t>Providers of high-risk AI systems bear the heaviest compliance burden. Before placing a system on the market or putting it into service, providers must:</w:t>
      </w:r>
    </w:p>
    <w:p>
      <w:pPr>
        <w:spacing w:after="80"/>
        <w:ind w:left="200"/>
      </w:pPr>
      <w:r>
        <w:t xml:space="preserve">☐  </w:t>
      </w:r>
      <w:r>
        <w:rPr>
          <w:b/>
        </w:rPr>
        <w:t>Risk management system</w:t>
      </w:r>
      <w:r>
        <w:rPr>
          <w:b w:val="0"/>
        </w:rPr>
        <w:t xml:space="preserve"> (Art. 9) — Establish a continuous, iterative process throughout the AI system's entire lifecycle</w:t>
      </w:r>
    </w:p>
    <w:p>
      <w:pPr>
        <w:spacing w:after="80"/>
        <w:ind w:left="200"/>
      </w:pPr>
      <w:r>
        <w:t xml:space="preserve">☐  </w:t>
      </w:r>
      <w:r>
        <w:rPr>
          <w:b/>
        </w:rPr>
        <w:t>Data governance</w:t>
      </w:r>
      <w:r>
        <w:rPr>
          <w:b w:val="0"/>
        </w:rPr>
        <w:t xml:space="preserve"> (Art. 10) — Ensure training, validation, and testing datasets meet quality criteria with appropriate statistical properties</w:t>
      </w:r>
    </w:p>
    <w:p>
      <w:pPr>
        <w:spacing w:after="80"/>
        <w:ind w:left="200"/>
      </w:pPr>
      <w:r>
        <w:t xml:space="preserve">☐  </w:t>
      </w:r>
      <w:r>
        <w:rPr>
          <w:b/>
        </w:rPr>
        <w:t>Technical documentation</w:t>
      </w:r>
      <w:r>
        <w:rPr>
          <w:b w:val="0"/>
        </w:rPr>
        <w:t xml:space="preserve"> (Art. 11, Annex IV) — Prepare comprehensive documentation covering all 9 required sections before market placement</w:t>
      </w:r>
    </w:p>
    <w:p>
      <w:pPr>
        <w:spacing w:after="80"/>
        <w:ind w:left="200"/>
      </w:pPr>
      <w:r>
        <w:t xml:space="preserve">☐  </w:t>
      </w:r>
      <w:r>
        <w:rPr>
          <w:b/>
        </w:rPr>
        <w:t>Record-keeping</w:t>
      </w:r>
      <w:r>
        <w:rPr>
          <w:b w:val="0"/>
        </w:rPr>
        <w:t xml:space="preserve"> (Art. 12) — Build in automatic logging capabilities proportionate to the system's intended purpose</w:t>
      </w:r>
    </w:p>
    <w:p>
      <w:pPr>
        <w:spacing w:after="80"/>
        <w:ind w:left="200"/>
      </w:pPr>
      <w:r>
        <w:t xml:space="preserve">☐  </w:t>
      </w:r>
      <w:r>
        <w:rPr>
          <w:b/>
        </w:rPr>
        <w:t>Transparency</w:t>
      </w:r>
      <w:r>
        <w:rPr>
          <w:b w:val="0"/>
        </w:rPr>
        <w:t xml:space="preserve"> (Art. 13) — Design the system so deployers can interpret output and use it appropriately</w:t>
      </w:r>
    </w:p>
    <w:p>
      <w:pPr>
        <w:spacing w:after="80"/>
        <w:ind w:left="200"/>
      </w:pPr>
      <w:r>
        <w:t xml:space="preserve">☐  </w:t>
      </w:r>
      <w:r>
        <w:rPr>
          <w:b/>
        </w:rPr>
        <w:t>Human oversight</w:t>
      </w:r>
      <w:r>
        <w:rPr>
          <w:b w:val="0"/>
        </w:rPr>
        <w:t xml:space="preserve"> (Art. 14) — Implement measures enabling effective human oversight during the system's use</w:t>
      </w:r>
    </w:p>
    <w:p>
      <w:pPr>
        <w:spacing w:after="80"/>
        <w:ind w:left="200"/>
      </w:pPr>
      <w:r>
        <w:t xml:space="preserve">☐  </w:t>
      </w:r>
      <w:r>
        <w:rPr>
          <w:b/>
        </w:rPr>
        <w:t>Accuracy, robustness &amp; cybersecurity</w:t>
      </w:r>
      <w:r>
        <w:rPr>
          <w:b w:val="0"/>
        </w:rPr>
        <w:t xml:space="preserve"> (Art. 15) — Achieve appropriate levels throughout the lifecycle</w:t>
      </w:r>
    </w:p>
    <w:p>
      <w:pPr>
        <w:spacing w:after="80"/>
        <w:ind w:left="200"/>
      </w:pPr>
      <w:r>
        <w:t xml:space="preserve">☐  </w:t>
      </w:r>
      <w:r>
        <w:rPr>
          <w:b/>
        </w:rPr>
        <w:t>Quality management system</w:t>
      </w:r>
      <w:r>
        <w:rPr>
          <w:b w:val="0"/>
        </w:rPr>
        <w:t xml:space="preserve"> (Art. 17) — Document policies and procedures ensuring ongoing compliance</w:t>
      </w:r>
    </w:p>
    <w:p>
      <w:pPr>
        <w:spacing w:after="80"/>
        <w:ind w:left="200"/>
      </w:pPr>
      <w:r>
        <w:t xml:space="preserve">☐  </w:t>
      </w:r>
      <w:r>
        <w:rPr>
          <w:b/>
        </w:rPr>
        <w:t>Conformity assessment</w:t>
      </w:r>
      <w:r>
        <w:rPr>
          <w:b w:val="0"/>
        </w:rPr>
        <w:t xml:space="preserve"> (Art. 43) — Complete the appropriate assessment procedure before market placement</w:t>
      </w:r>
    </w:p>
    <w:p>
      <w:pPr>
        <w:spacing w:after="80"/>
        <w:ind w:left="200"/>
      </w:pPr>
      <w:r>
        <w:t xml:space="preserve">☐  </w:t>
      </w:r>
      <w:r>
        <w:rPr>
          <w:b/>
        </w:rPr>
        <w:t>EU Declaration of Conformity</w:t>
      </w:r>
      <w:r>
        <w:rPr>
          <w:b w:val="0"/>
        </w:rPr>
        <w:t xml:space="preserve"> (Art. 47) — Draw up and keep updated for each high-risk AI system</w:t>
      </w:r>
    </w:p>
    <w:p>
      <w:pPr>
        <w:spacing w:after="80"/>
        <w:ind w:left="200"/>
      </w:pPr>
      <w:r>
        <w:t xml:space="preserve">☐  </w:t>
      </w:r>
      <w:r>
        <w:rPr>
          <w:b/>
        </w:rPr>
        <w:t>CE marking</w:t>
      </w:r>
      <w:r>
        <w:rPr>
          <w:b w:val="0"/>
        </w:rPr>
        <w:t xml:space="preserve"> (Art. 48) — Affix visibly, legibly, and indelibly to the system</w:t>
      </w:r>
    </w:p>
    <w:p>
      <w:pPr>
        <w:spacing w:after="80"/>
        <w:ind w:left="200"/>
      </w:pPr>
      <w:r>
        <w:t xml:space="preserve">☐  </w:t>
      </w:r>
      <w:r>
        <w:rPr>
          <w:b/>
        </w:rPr>
        <w:t>EU database registration</w:t>
      </w:r>
      <w:r>
        <w:rPr>
          <w:b w:val="0"/>
        </w:rPr>
        <w:t xml:space="preserve"> (Art. 49) — Register the system and the provider in the EU database before market placement</w:t>
      </w:r>
    </w:p>
    <w:p>
      <w:pPr>
        <w:pStyle w:val="Heading2"/>
      </w:pPr>
      <w:r>
        <w:t>Deployer Obligations (Article 26)</w:t>
      </w:r>
    </w:p>
    <w:p>
      <w:r>
        <w:rPr>
          <w:b w:val="0"/>
          <w:i w:val="0"/>
        </w:rPr>
        <w:t>Organisations that use high-risk AI systems (deployers) have their own set of obligations:</w:t>
      </w:r>
    </w:p>
    <w:p>
      <w:pPr>
        <w:spacing w:after="80"/>
        <w:ind w:left="200"/>
      </w:pPr>
      <w:r>
        <w:t xml:space="preserve">☐  </w:t>
      </w:r>
      <w:r>
        <w:rPr>
          <w:b/>
        </w:rPr>
        <w:t>Use per instructions</w:t>
      </w:r>
      <w:r>
        <w:rPr>
          <w:b w:val="0"/>
        </w:rPr>
        <w:t xml:space="preserve"> — Implement appropriate technical and organisational measures to use the system according to the provider's instructions for use</w:t>
      </w:r>
    </w:p>
    <w:p>
      <w:pPr>
        <w:spacing w:after="80"/>
        <w:ind w:left="200"/>
      </w:pPr>
      <w:r>
        <w:t xml:space="preserve">☐  </w:t>
      </w:r>
      <w:r>
        <w:rPr>
          <w:b/>
        </w:rPr>
        <w:t>Human oversight</w:t>
      </w:r>
      <w:r>
        <w:rPr>
          <w:b w:val="0"/>
        </w:rPr>
        <w:t xml:space="preserve"> — Assign qualified persons with necessary competence, training, authority, and support to oversee the system's operation</w:t>
      </w:r>
    </w:p>
    <w:p>
      <w:pPr>
        <w:spacing w:after="80"/>
        <w:ind w:left="200"/>
      </w:pPr>
      <w:r>
        <w:t xml:space="preserve">☐  </w:t>
      </w:r>
      <w:r>
        <w:rPr>
          <w:b/>
        </w:rPr>
        <w:t>Input data relevance</w:t>
      </w:r>
      <w:r>
        <w:rPr>
          <w:b w:val="0"/>
        </w:rPr>
        <w:t xml:space="preserve"> — Where the deployer controls the input data, ensure it is relevant and sufficiently representative for the intended purpose</w:t>
      </w:r>
    </w:p>
    <w:p>
      <w:pPr>
        <w:spacing w:after="80"/>
        <w:ind w:left="200"/>
      </w:pPr>
      <w:r>
        <w:t xml:space="preserve">☐  </w:t>
      </w:r>
      <w:r>
        <w:rPr>
          <w:b/>
        </w:rPr>
        <w:t>Monitoring</w:t>
      </w:r>
      <w:r>
        <w:rPr>
          <w:b w:val="0"/>
        </w:rPr>
        <w:t xml:space="preserve"> (Art. 26(5)) — Monitor the system's operation based on the instructions for use. If it presents a risk, suspend its use and inform the provider or distributor and the market surveillance authority. Report a serious incident to the provider first, then to the importer or distributor and the authority</w:t>
      </w:r>
    </w:p>
    <w:p>
      <w:pPr>
        <w:spacing w:after="80"/>
        <w:ind w:left="200"/>
      </w:pPr>
      <w:r>
        <w:t xml:space="preserve">☐  </w:t>
      </w:r>
      <w:r>
        <w:rPr>
          <w:b/>
        </w:rPr>
        <w:t>Log retention</w:t>
      </w:r>
      <w:r>
        <w:rPr>
          <w:b w:val="0"/>
        </w:rPr>
        <w:t xml:space="preserve"> — Keep automatically generated logs for at least 6 months</w:t>
      </w:r>
    </w:p>
    <w:p>
      <w:pPr>
        <w:spacing w:after="80"/>
        <w:ind w:left="200"/>
      </w:pPr>
      <w:r>
        <w:t xml:space="preserve">☐  </w:t>
      </w:r>
      <w:r>
        <w:rPr>
          <w:b/>
        </w:rPr>
        <w:t>Worker notification</w:t>
      </w:r>
      <w:r>
        <w:rPr>
          <w:b w:val="0"/>
        </w:rPr>
        <w:t xml:space="preserve"> — Inform workers' representatives and affected workers before deploying a high-risk AI system in the workplace</w:t>
      </w:r>
    </w:p>
    <w:p>
      <w:pPr>
        <w:spacing w:after="80"/>
        <w:ind w:left="200"/>
      </w:pPr>
      <w:r>
        <w:t xml:space="preserve">☐  </w:t>
      </w:r>
      <w:r>
        <w:rPr>
          <w:b/>
        </w:rPr>
        <w:t>Fundamental rights impact assessment</w:t>
      </w:r>
      <w:r>
        <w:rPr>
          <w:b w:val="0"/>
        </w:rPr>
        <w:t xml:space="preserve"> (Art. 27) — Before first use, assess the system's impact on fundamental rights. This applies to bodies governed by public law, private entities providing public services, and deployers of credit-scoring or life and health insurance pricing systems</w:t>
      </w:r>
    </w:p>
    <w:p>
      <w:pPr>
        <w:spacing w:after="80"/>
        <w:ind w:left="200"/>
      </w:pPr>
      <w:r>
        <w:t xml:space="preserve">☐  </w:t>
      </w:r>
      <w:r>
        <w:rPr>
          <w:b/>
        </w:rPr>
        <w:t>AI literacy (Article 4)</w:t>
      </w:r>
      <w:r>
        <w:rPr>
          <w:b w:val="0"/>
        </w:rPr>
        <w:t xml:space="preserve"> — Take measures to support the AI literacy of your staff and of others who operate or use AI systems for you. No specific level is required. The duty covers every AI system, not only high-risk ones</w:t>
      </w:r>
    </w:p>
    <w:p>
      <w:pPr>
        <w:pStyle w:val="Heading2"/>
      </w:pPr>
      <w:r>
        <w:t>Importer &amp; Distributor Obligations</w:t>
      </w:r>
    </w:p>
    <w:p>
      <w:r>
        <w:rPr>
          <w:b/>
          <w:i w:val="0"/>
        </w:rPr>
        <w:t>Importers</w:t>
      </w:r>
      <w:r>
        <w:rPr>
          <w:b w:val="0"/>
          <w:i w:val="0"/>
        </w:rPr>
        <w:t xml:space="preserve"> (Articles 23) must verify that the provider has completed the conformity assessment, prepared technical documentation, affixed CE marking, and appointed an authorised representative. They must not place a non-conforming system on the market.</w:t>
      </w:r>
    </w:p>
    <w:p>
      <w:r>
        <w:rPr>
          <w:b/>
          <w:i w:val="0"/>
        </w:rPr>
        <w:t>Distributors</w:t>
      </w:r>
      <w:r>
        <w:rPr>
          <w:b w:val="0"/>
          <w:i w:val="0"/>
        </w:rPr>
        <w:t xml:space="preserve"> (Article 24) must verify CE marking, the EU declaration of conformity, and instructions for use are present. They must ensure storage and transport conditions don't jeopardise compliance.</w:t>
      </w:r>
    </w:p>
    <w:p>
      <w:pPr>
        <w:pStyle w:val="Heading2"/>
      </w:pPr>
      <w:r>
        <w:t>Penalty Structure (Article 99)</w:t>
      </w:r>
    </w:p>
    <w:tbl>
      <w:tblPr>
        <w:tblStyle w:val="LightGrid-Accent1"/>
        <w:tblW w:type="auto" w:w="0"/>
        <w:tblLook w:firstColumn="1" w:firstRow="1" w:lastColumn="0" w:lastRow="0" w:noHBand="0" w:noVBand="1" w:val="04A0"/>
      </w:tblPr>
      <w:tblGrid>
        <w:gridCol w:w="4320"/>
        <w:gridCol w:w="4320"/>
      </w:tblGrid>
      <w:tr>
        <w:tc>
          <w:tcPr>
            <w:tcW w:type="dxa" w:w="4320"/>
          </w:tcPr>
          <w:p>
            <w:r>
              <w:rPr>
                <w:b/>
              </w:rPr>
              <w:t>Violation</w:t>
            </w:r>
          </w:p>
        </w:tc>
        <w:tc>
          <w:tcPr>
            <w:tcW w:type="dxa" w:w="4320"/>
          </w:tcPr>
          <w:p>
            <w:r>
              <w:rPr>
                <w:b/>
              </w:rPr>
              <w:t>Maximum Fine</w:t>
            </w:r>
          </w:p>
        </w:tc>
      </w:tr>
      <w:tr>
        <w:tc>
          <w:tcPr>
            <w:tcW w:type="dxa" w:w="4320"/>
          </w:tcPr>
          <w:p>
            <w:r/>
            <w:r>
              <w:rPr>
                <w:b w:val="0"/>
              </w:rPr>
              <w:t>Prohibited AI practices (Art. 5)</w:t>
            </w:r>
          </w:p>
        </w:tc>
        <w:tc>
          <w:tcPr>
            <w:tcW w:type="dxa" w:w="4320"/>
          </w:tcPr>
          <w:p>
            <w:r/>
            <w:r>
              <w:rPr>
                <w:b/>
              </w:rPr>
              <w:t>EUR 35M</w:t>
            </w:r>
            <w:r>
              <w:rPr>
                <w:b w:val="0"/>
              </w:rPr>
              <w:t xml:space="preserve"> or </w:t>
            </w:r>
            <w:r>
              <w:rPr>
                <w:b/>
              </w:rPr>
              <w:t>7%</w:t>
            </w:r>
            <w:r>
              <w:rPr>
                <w:b w:val="0"/>
              </w:rPr>
              <w:t xml:space="preserve"> global turnover</w:t>
            </w:r>
          </w:p>
        </w:tc>
      </w:tr>
      <w:tr>
        <w:tc>
          <w:tcPr>
            <w:tcW w:type="dxa" w:w="4320"/>
          </w:tcPr>
          <w:p>
            <w:r/>
            <w:r>
              <w:rPr>
                <w:b w:val="0"/>
              </w:rPr>
              <w:t>Provider, deployer, importer, distributor obligations</w:t>
            </w:r>
          </w:p>
        </w:tc>
        <w:tc>
          <w:tcPr>
            <w:tcW w:type="dxa" w:w="4320"/>
          </w:tcPr>
          <w:p>
            <w:r/>
            <w:r>
              <w:rPr>
                <w:b/>
              </w:rPr>
              <w:t>EUR 15M</w:t>
            </w:r>
            <w:r>
              <w:rPr>
                <w:b w:val="0"/>
              </w:rPr>
              <w:t xml:space="preserve"> or </w:t>
            </w:r>
            <w:r>
              <w:rPr>
                <w:b/>
              </w:rPr>
              <w:t>3%</w:t>
            </w:r>
            <w:r>
              <w:rPr>
                <w:b w:val="0"/>
              </w:rPr>
              <w:t xml:space="preserve"> global turnover</w:t>
            </w:r>
          </w:p>
        </w:tc>
      </w:tr>
      <w:tr>
        <w:tc>
          <w:tcPr>
            <w:tcW w:type="dxa" w:w="4320"/>
          </w:tcPr>
          <w:p>
            <w:r/>
            <w:r>
              <w:rPr>
                <w:b w:val="0"/>
              </w:rPr>
              <w:t>Incorrect or misleading information to authorities</w:t>
            </w:r>
          </w:p>
        </w:tc>
        <w:tc>
          <w:tcPr>
            <w:tcW w:type="dxa" w:w="4320"/>
          </w:tcPr>
          <w:p>
            <w:r/>
            <w:r>
              <w:rPr>
                <w:b/>
              </w:rPr>
              <w:t>EUR 7.5M</w:t>
            </w:r>
            <w:r>
              <w:rPr>
                <w:b w:val="0"/>
              </w:rPr>
              <w:t xml:space="preserve"> or </w:t>
            </w:r>
            <w:r>
              <w:rPr>
                <w:b/>
              </w:rPr>
              <w:t>1%</w:t>
            </w:r>
            <w:r>
              <w:rPr>
                <w:b w:val="0"/>
              </w:rPr>
              <w:t xml:space="preserve"> global turnover</w:t>
            </w:r>
          </w:p>
        </w:tc>
      </w:tr>
    </w:tbl>
    <w:p/>
    <w:p>
      <w:r>
        <w:rPr>
          <w:b w:val="0"/>
          <w:i/>
          <w:sz w:val="19"/>
        </w:rPr>
        <w:t>For SMEs and start-ups, fines are capped at the lower of the percentage or fixed amount. Mitigating factors include self-reporting, degree of cooperation, and technical measures already implemented.</w:t>
      </w:r>
    </w:p>
    <w:p>
      <w:r>
        <w:rPr>
          <w:b/>
          <w:i w:val="0"/>
        </w:rPr>
        <w:t>Bottom line:</w:t>
      </w:r>
      <w:r>
        <w:rPr>
          <w:b w:val="0"/>
          <w:i w:val="0"/>
        </w:rPr>
        <w:t xml:space="preserve"> The EU AI Act is not optional. If you develop, deploy, import, or distribute AI systems in the EU, you need to map your obligations now. The prohibited practices and AI-literacy rules already apply, and so do the transparency obligations of Article 50 since 2 August 2026. The high-risk obligations apply from 2 December 2027 for Annex III systems and from 2 August 2028 for Annex I systems. The Digital Omnibus (Regulation (EU) 2026/1744) moved both dates later.</w:t>
      </w:r>
    </w:p>
    <w:p>
      <w:r>
        <w:rPr>
          <w:b w:val="0"/>
          <w:i/>
          <w:sz w:val="19"/>
        </w:rPr>
        <w:t>This checklist is an orientation, not legal advice. It was checked against the consolidated text of Regulation (EU) 2024/1689 as amended by Regulation (EU) 2026/1744.</w:t>
      </w:r>
    </w:p>
    <w:p>
      <w:r>
        <w:rPr>
          <w:b w:val="0"/>
          <w:i/>
          <w:sz w:val="19"/>
        </w:rPr>
        <w:t>EU AI Act self-assessment (free, ~3 minutes): https://landingred.com/assessment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AI Act Compliance Checklist for 2026</dc:title>
  <dc:subject>This checklist is an orientation, not legal advice. It was checked against the consolidated text of Regulation (EU) 2024/1689 as amended by Regulation (EU) 2026/1744.</dc:subject>
  <dc:creator>LandingRed</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